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8E47" w14:textId="2C7D9741" w:rsidR="00D36858" w:rsidRDefault="00B167EB">
      <w:pP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692051DB" wp14:editId="6914544A">
            <wp:simplePos x="0" y="0"/>
            <wp:positionH relativeFrom="column">
              <wp:posOffset>-1119505</wp:posOffset>
            </wp:positionH>
            <wp:positionV relativeFrom="page">
              <wp:posOffset>0</wp:posOffset>
            </wp:positionV>
            <wp:extent cx="7603490" cy="10712450"/>
            <wp:effectExtent l="0" t="0" r="3810" b="6350"/>
            <wp:wrapSquare wrapText="bothSides"/>
            <wp:docPr id="10958770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77048" name="Imagem 1095877048"/>
                    <pic:cNvPicPr/>
                  </pic:nvPicPr>
                  <pic:blipFill>
                    <a:blip r:embed="rId7"/>
                    <a:stretch>
                      <a:fillRect/>
                    </a:stretch>
                  </pic:blipFill>
                  <pic:spPr>
                    <a:xfrm>
                      <a:off x="0" y="0"/>
                      <a:ext cx="7603490" cy="10712450"/>
                    </a:xfrm>
                    <a:prstGeom prst="rect">
                      <a:avLst/>
                    </a:prstGeom>
                  </pic:spPr>
                </pic:pic>
              </a:graphicData>
            </a:graphic>
            <wp14:sizeRelH relativeFrom="page">
              <wp14:pctWidth>0</wp14:pctWidth>
            </wp14:sizeRelH>
            <wp14:sizeRelV relativeFrom="page">
              <wp14:pctHeight>0</wp14:pctHeight>
            </wp14:sizeRelV>
          </wp:anchor>
        </w:drawing>
      </w:r>
      <w:r w:rsidR="005A6715">
        <w:rPr>
          <w:rFonts w:ascii="Arial" w:hAnsi="Arial" w:cs="Arial"/>
          <w:sz w:val="24"/>
          <w:szCs w:val="24"/>
        </w:rPr>
        <w:br w:type="page"/>
      </w:r>
    </w:p>
    <w:p w14:paraId="38BAEDBC" w14:textId="757CF529" w:rsidR="00FC62E2" w:rsidRDefault="00FC62E2" w:rsidP="000C7050">
      <w:pPr>
        <w:spacing w:after="0" w:line="240" w:lineRule="auto"/>
        <w:jc w:val="right"/>
        <w:rPr>
          <w:rFonts w:ascii="Arial" w:hAnsi="Arial" w:cs="Arial"/>
          <w:sz w:val="24"/>
          <w:szCs w:val="24"/>
        </w:rPr>
      </w:pPr>
      <w:r>
        <w:rPr>
          <w:rFonts w:ascii="Arial" w:hAnsi="Arial" w:cs="Arial"/>
          <w:noProof/>
          <w:sz w:val="24"/>
          <w:szCs w:val="24"/>
        </w:rPr>
        <w:lastRenderedPageBreak/>
        <w:drawing>
          <wp:inline distT="0" distB="0" distL="0" distR="0" wp14:anchorId="633DBF85" wp14:editId="2E710331">
            <wp:extent cx="5440505" cy="1282745"/>
            <wp:effectExtent l="0" t="0" r="8255" b="0"/>
            <wp:docPr id="6345016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4904" cy="1297929"/>
                    </a:xfrm>
                    <a:prstGeom prst="rect">
                      <a:avLst/>
                    </a:prstGeom>
                    <a:noFill/>
                  </pic:spPr>
                </pic:pic>
              </a:graphicData>
            </a:graphic>
          </wp:inline>
        </w:drawing>
      </w:r>
    </w:p>
    <w:p w14:paraId="6CEB26C8" w14:textId="77777777" w:rsidR="00FC62E2" w:rsidRDefault="00FC62E2" w:rsidP="000C7050">
      <w:pPr>
        <w:spacing w:after="0" w:line="240" w:lineRule="auto"/>
        <w:jc w:val="right"/>
        <w:rPr>
          <w:rFonts w:ascii="Arial" w:hAnsi="Arial" w:cs="Arial"/>
          <w:sz w:val="24"/>
          <w:szCs w:val="24"/>
        </w:rPr>
      </w:pPr>
    </w:p>
    <w:p w14:paraId="773204F5" w14:textId="77777777" w:rsidR="00FC62E2" w:rsidRDefault="00FC62E2" w:rsidP="00E461E0">
      <w:pPr>
        <w:spacing w:after="0" w:line="240" w:lineRule="auto"/>
        <w:jc w:val="center"/>
        <w:rPr>
          <w:rFonts w:ascii="Arial" w:hAnsi="Arial" w:cs="Arial"/>
          <w:b/>
          <w:sz w:val="30"/>
          <w:szCs w:val="30"/>
        </w:rPr>
      </w:pPr>
    </w:p>
    <w:p w14:paraId="038D127C" w14:textId="101C0420" w:rsidR="00523F92" w:rsidRPr="00425162" w:rsidRDefault="002839F2" w:rsidP="00E461E0">
      <w:pPr>
        <w:spacing w:after="0" w:line="240" w:lineRule="auto"/>
        <w:jc w:val="center"/>
        <w:rPr>
          <w:rFonts w:ascii="Arial" w:hAnsi="Arial" w:cs="Arial"/>
          <w:b/>
          <w:sz w:val="30"/>
          <w:szCs w:val="30"/>
        </w:rPr>
      </w:pPr>
      <w:bookmarkStart w:id="0" w:name="_Hlk211768982"/>
      <w:r w:rsidRPr="00425162">
        <w:rPr>
          <w:rFonts w:ascii="Arial" w:hAnsi="Arial" w:cs="Arial"/>
          <w:b/>
          <w:sz w:val="30"/>
          <w:szCs w:val="30"/>
        </w:rPr>
        <w:t xml:space="preserve">UNIVERSIDADE </w:t>
      </w:r>
      <w:r>
        <w:rPr>
          <w:rFonts w:ascii="Arial" w:hAnsi="Arial" w:cs="Arial"/>
          <w:b/>
          <w:sz w:val="30"/>
          <w:szCs w:val="30"/>
        </w:rPr>
        <w:t>VILA VELHA (UVV)</w:t>
      </w:r>
    </w:p>
    <w:p w14:paraId="560AD9A4" w14:textId="08333E6F" w:rsidR="00523F92" w:rsidRPr="00425162" w:rsidRDefault="002839F2" w:rsidP="00E461E0">
      <w:pPr>
        <w:spacing w:after="0" w:line="240" w:lineRule="auto"/>
        <w:jc w:val="center"/>
        <w:rPr>
          <w:rFonts w:ascii="Arial" w:hAnsi="Arial" w:cs="Arial"/>
          <w:b/>
          <w:sz w:val="30"/>
          <w:szCs w:val="30"/>
        </w:rPr>
      </w:pPr>
      <w:r>
        <w:rPr>
          <w:rFonts w:ascii="Arial" w:hAnsi="Arial" w:cs="Arial"/>
          <w:b/>
          <w:sz w:val="30"/>
          <w:szCs w:val="30"/>
        </w:rPr>
        <w:t xml:space="preserve">PROGRAMA DE PÓS GRADUAÇÃO EM </w:t>
      </w:r>
      <w:r w:rsidRPr="00425162">
        <w:rPr>
          <w:rFonts w:ascii="Arial" w:hAnsi="Arial" w:cs="Arial"/>
          <w:b/>
          <w:sz w:val="30"/>
          <w:szCs w:val="30"/>
        </w:rPr>
        <w:t xml:space="preserve">CIÊNCIAS </w:t>
      </w:r>
      <w:r>
        <w:rPr>
          <w:rFonts w:ascii="Arial" w:hAnsi="Arial" w:cs="Arial"/>
          <w:b/>
          <w:sz w:val="30"/>
          <w:szCs w:val="30"/>
        </w:rPr>
        <w:t>FARMACEUTICAS</w:t>
      </w:r>
    </w:p>
    <w:p w14:paraId="7DDC11B2" w14:textId="77777777" w:rsidR="00523F92" w:rsidRPr="00DB27EA" w:rsidRDefault="00523F92" w:rsidP="00E461E0">
      <w:pPr>
        <w:jc w:val="center"/>
        <w:rPr>
          <w:rFonts w:ascii="Arial" w:hAnsi="Arial" w:cs="Arial"/>
        </w:rPr>
      </w:pPr>
    </w:p>
    <w:bookmarkEnd w:id="0"/>
    <w:p w14:paraId="7E9FCB7A" w14:textId="77777777" w:rsidR="00E461E0" w:rsidRPr="00DB27EA" w:rsidRDefault="00E461E0" w:rsidP="00E461E0">
      <w:pPr>
        <w:jc w:val="center"/>
        <w:rPr>
          <w:rFonts w:ascii="Arial" w:hAnsi="Arial" w:cs="Arial"/>
        </w:rPr>
      </w:pPr>
    </w:p>
    <w:p w14:paraId="534E043A" w14:textId="77777777" w:rsidR="00E461E0" w:rsidRPr="00DB27EA" w:rsidRDefault="00E461E0" w:rsidP="00E461E0">
      <w:pPr>
        <w:jc w:val="center"/>
        <w:rPr>
          <w:rFonts w:ascii="Arial" w:hAnsi="Arial" w:cs="Arial"/>
        </w:rPr>
      </w:pPr>
    </w:p>
    <w:p w14:paraId="4762353D" w14:textId="77777777" w:rsidR="00D36858" w:rsidRDefault="00D36858" w:rsidP="00D36858">
      <w:pPr>
        <w:jc w:val="center"/>
        <w:rPr>
          <w:rFonts w:ascii="Arial" w:hAnsi="Arial" w:cs="Arial"/>
          <w:b/>
          <w:sz w:val="28"/>
          <w:szCs w:val="28"/>
        </w:rPr>
      </w:pPr>
      <w:r>
        <w:rPr>
          <w:rFonts w:ascii="Arial" w:hAnsi="Arial" w:cs="Arial"/>
          <w:b/>
          <w:noProof/>
          <w:sz w:val="28"/>
          <w:szCs w:val="28"/>
        </w:rPr>
        <w:drawing>
          <wp:inline distT="0" distB="0" distL="0" distR="0" wp14:anchorId="3D8510F2" wp14:editId="75BDEEE9">
            <wp:extent cx="3228975" cy="3185921"/>
            <wp:effectExtent l="0" t="0" r="0" b="0"/>
            <wp:docPr id="173745340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4226" cy="3200969"/>
                    </a:xfrm>
                    <a:prstGeom prst="rect">
                      <a:avLst/>
                    </a:prstGeom>
                    <a:noFill/>
                    <a:ln>
                      <a:noFill/>
                    </a:ln>
                  </pic:spPr>
                </pic:pic>
              </a:graphicData>
            </a:graphic>
          </wp:inline>
        </w:drawing>
      </w:r>
    </w:p>
    <w:p w14:paraId="452EB256" w14:textId="73563C8A" w:rsidR="00E461E0" w:rsidRPr="0013642F" w:rsidRDefault="007F60DF" w:rsidP="00D36858">
      <w:pPr>
        <w:jc w:val="center"/>
        <w:rPr>
          <w:rFonts w:ascii="Arial" w:hAnsi="Arial" w:cs="Arial"/>
          <w:b/>
          <w:sz w:val="28"/>
          <w:szCs w:val="28"/>
        </w:rPr>
      </w:pPr>
      <w:r>
        <w:rPr>
          <w:rFonts w:ascii="Arial" w:hAnsi="Arial" w:cs="Arial"/>
          <w:b/>
          <w:sz w:val="28"/>
          <w:szCs w:val="28"/>
        </w:rPr>
        <w:t>LIVRO</w:t>
      </w:r>
      <w:r w:rsidR="0013642F" w:rsidRPr="0013642F">
        <w:rPr>
          <w:rFonts w:ascii="Arial" w:hAnsi="Arial" w:cs="Arial"/>
          <w:b/>
          <w:sz w:val="28"/>
          <w:szCs w:val="28"/>
        </w:rPr>
        <w:t xml:space="preserve"> DE RESUMOS DO</w:t>
      </w:r>
    </w:p>
    <w:p w14:paraId="62FBA6D4" w14:textId="4E96BE1E" w:rsidR="00650683" w:rsidRPr="0013642F" w:rsidRDefault="0013642F" w:rsidP="0013642F">
      <w:pPr>
        <w:jc w:val="center"/>
        <w:rPr>
          <w:rFonts w:ascii="Arial" w:hAnsi="Arial" w:cs="Arial"/>
          <w:b/>
          <w:sz w:val="28"/>
          <w:szCs w:val="28"/>
        </w:rPr>
      </w:pPr>
      <w:r w:rsidRPr="0013642F">
        <w:rPr>
          <w:rFonts w:ascii="Arial" w:hAnsi="Arial" w:cs="Arial"/>
          <w:b/>
          <w:sz w:val="28"/>
          <w:szCs w:val="28"/>
        </w:rPr>
        <w:t>X SEMINÁRIO EM CIÊNCIAS FARMACÊUTICAS</w:t>
      </w:r>
    </w:p>
    <w:p w14:paraId="7CA507F0" w14:textId="475D6558" w:rsidR="00650683" w:rsidRPr="0013642F" w:rsidRDefault="0013642F" w:rsidP="0013642F">
      <w:pPr>
        <w:jc w:val="center"/>
        <w:rPr>
          <w:rFonts w:ascii="Arial" w:hAnsi="Arial" w:cs="Arial"/>
          <w:b/>
          <w:sz w:val="28"/>
          <w:szCs w:val="28"/>
        </w:rPr>
      </w:pPr>
      <w:r w:rsidRPr="0013642F">
        <w:rPr>
          <w:rFonts w:ascii="Arial" w:hAnsi="Arial" w:cs="Arial"/>
          <w:b/>
          <w:sz w:val="28"/>
          <w:szCs w:val="28"/>
        </w:rPr>
        <w:t>VII PHARMACEUTICAL SCIENCES MEETING</w:t>
      </w:r>
    </w:p>
    <w:p w14:paraId="57806CD9" w14:textId="77777777" w:rsidR="00E461E0" w:rsidRPr="0013642F" w:rsidRDefault="00E461E0" w:rsidP="00E461E0">
      <w:pPr>
        <w:jc w:val="center"/>
        <w:rPr>
          <w:rFonts w:ascii="Arial" w:hAnsi="Arial" w:cs="Arial"/>
          <w:b/>
        </w:rPr>
      </w:pPr>
    </w:p>
    <w:p w14:paraId="74DCA65B" w14:textId="77777777" w:rsidR="00E461E0" w:rsidRPr="0013642F" w:rsidRDefault="00E461E0" w:rsidP="00E461E0">
      <w:pPr>
        <w:jc w:val="center"/>
        <w:rPr>
          <w:rFonts w:ascii="Arial" w:hAnsi="Arial" w:cs="Arial"/>
          <w:b/>
        </w:rPr>
      </w:pPr>
    </w:p>
    <w:p w14:paraId="4FE6F5FB" w14:textId="77777777" w:rsidR="00E461E0" w:rsidRPr="00DB27EA" w:rsidRDefault="00E461E0" w:rsidP="00E461E0">
      <w:pPr>
        <w:jc w:val="center"/>
        <w:rPr>
          <w:rFonts w:ascii="Arial" w:hAnsi="Arial" w:cs="Arial"/>
        </w:rPr>
      </w:pPr>
    </w:p>
    <w:p w14:paraId="1DD7BAE3" w14:textId="24264C9F" w:rsidR="00A65C6A" w:rsidRPr="00D36858" w:rsidRDefault="00650683" w:rsidP="00D36858">
      <w:pPr>
        <w:jc w:val="center"/>
        <w:rPr>
          <w:rFonts w:ascii="Arial" w:hAnsi="Arial" w:cs="Arial"/>
          <w:b/>
          <w:bCs/>
          <w:sz w:val="24"/>
          <w:szCs w:val="24"/>
        </w:rPr>
      </w:pPr>
      <w:r w:rsidRPr="00D36858">
        <w:rPr>
          <w:rFonts w:ascii="Arial" w:hAnsi="Arial" w:cs="Arial"/>
          <w:b/>
          <w:bCs/>
          <w:sz w:val="24"/>
          <w:szCs w:val="24"/>
        </w:rPr>
        <w:t>Vila Velha</w:t>
      </w:r>
      <w:r w:rsidR="00167A03" w:rsidRPr="00D36858">
        <w:rPr>
          <w:rFonts w:ascii="Arial" w:hAnsi="Arial" w:cs="Arial"/>
          <w:b/>
          <w:bCs/>
          <w:sz w:val="24"/>
          <w:szCs w:val="24"/>
        </w:rPr>
        <w:t xml:space="preserve"> – </w:t>
      </w:r>
      <w:r w:rsidRPr="00D36858">
        <w:rPr>
          <w:rFonts w:ascii="Arial" w:hAnsi="Arial" w:cs="Arial"/>
          <w:b/>
          <w:bCs/>
          <w:sz w:val="24"/>
          <w:szCs w:val="24"/>
        </w:rPr>
        <w:t>ES</w:t>
      </w:r>
      <w:r w:rsidR="00167A03" w:rsidRPr="00D36858">
        <w:rPr>
          <w:rFonts w:ascii="Arial" w:hAnsi="Arial" w:cs="Arial"/>
          <w:b/>
          <w:bCs/>
          <w:sz w:val="24"/>
          <w:szCs w:val="24"/>
        </w:rPr>
        <w:t xml:space="preserve">, </w:t>
      </w:r>
      <w:r w:rsidR="00A65C6A" w:rsidRPr="00D36858">
        <w:rPr>
          <w:rFonts w:ascii="Arial" w:hAnsi="Arial" w:cs="Arial"/>
          <w:b/>
          <w:bCs/>
          <w:sz w:val="24"/>
          <w:szCs w:val="24"/>
        </w:rPr>
        <w:t>Brasil</w:t>
      </w:r>
    </w:p>
    <w:p w14:paraId="78295148" w14:textId="749EFDFB" w:rsidR="00E461E0" w:rsidRPr="00D36858" w:rsidRDefault="00310A26" w:rsidP="00D36858">
      <w:pPr>
        <w:jc w:val="center"/>
        <w:rPr>
          <w:rFonts w:ascii="Arial" w:hAnsi="Arial" w:cs="Arial"/>
          <w:b/>
          <w:bCs/>
          <w:sz w:val="24"/>
          <w:szCs w:val="24"/>
        </w:rPr>
      </w:pPr>
      <w:r w:rsidRPr="00D36858">
        <w:rPr>
          <w:rFonts w:ascii="Arial" w:hAnsi="Arial" w:cs="Arial"/>
          <w:b/>
          <w:bCs/>
          <w:sz w:val="24"/>
          <w:szCs w:val="24"/>
        </w:rPr>
        <w:t>22 a 2</w:t>
      </w:r>
      <w:r w:rsidR="00650683" w:rsidRPr="00D36858">
        <w:rPr>
          <w:rFonts w:ascii="Arial" w:hAnsi="Arial" w:cs="Arial"/>
          <w:b/>
          <w:bCs/>
          <w:sz w:val="24"/>
          <w:szCs w:val="24"/>
        </w:rPr>
        <w:t>3</w:t>
      </w:r>
      <w:r w:rsidRPr="00D36858">
        <w:rPr>
          <w:rFonts w:ascii="Arial" w:hAnsi="Arial" w:cs="Arial"/>
          <w:b/>
          <w:bCs/>
          <w:sz w:val="24"/>
          <w:szCs w:val="24"/>
        </w:rPr>
        <w:t xml:space="preserve"> de </w:t>
      </w:r>
      <w:proofErr w:type="gramStart"/>
      <w:r w:rsidR="00FC62E2" w:rsidRPr="00D36858">
        <w:rPr>
          <w:rFonts w:ascii="Arial" w:hAnsi="Arial" w:cs="Arial"/>
          <w:b/>
          <w:bCs/>
          <w:sz w:val="24"/>
          <w:szCs w:val="24"/>
        </w:rPr>
        <w:t>Outubro</w:t>
      </w:r>
      <w:proofErr w:type="gramEnd"/>
      <w:r w:rsidRPr="00D36858">
        <w:rPr>
          <w:rFonts w:ascii="Arial" w:hAnsi="Arial" w:cs="Arial"/>
          <w:b/>
          <w:bCs/>
          <w:sz w:val="24"/>
          <w:szCs w:val="24"/>
        </w:rPr>
        <w:t xml:space="preserve"> de 202</w:t>
      </w:r>
      <w:r w:rsidR="00650683" w:rsidRPr="00D36858">
        <w:rPr>
          <w:rFonts w:ascii="Arial" w:hAnsi="Arial" w:cs="Arial"/>
          <w:b/>
          <w:bCs/>
          <w:sz w:val="24"/>
          <w:szCs w:val="24"/>
        </w:rPr>
        <w:t>5</w:t>
      </w:r>
    </w:p>
    <w:p w14:paraId="49AA2DFC" w14:textId="1DE132E0" w:rsidR="006007D5" w:rsidRDefault="006007D5" w:rsidP="00D36858">
      <w:pPr>
        <w:rPr>
          <w:rFonts w:ascii="Arial" w:hAnsi="Arial" w:cs="Arial"/>
        </w:rPr>
      </w:pPr>
      <w:r w:rsidRPr="006007D5">
        <w:rPr>
          <w:noProof/>
        </w:rPr>
        <w:lastRenderedPageBreak/>
        <w:drawing>
          <wp:inline distT="0" distB="0" distL="0" distR="0" wp14:anchorId="5C6CC3B8" wp14:editId="2CE7CC92">
            <wp:extent cx="5400040" cy="933450"/>
            <wp:effectExtent l="0" t="0" r="0" b="0"/>
            <wp:docPr id="177479533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933450"/>
                    </a:xfrm>
                    <a:prstGeom prst="rect">
                      <a:avLst/>
                    </a:prstGeom>
                    <a:noFill/>
                    <a:ln>
                      <a:noFill/>
                    </a:ln>
                  </pic:spPr>
                </pic:pic>
              </a:graphicData>
            </a:graphic>
          </wp:inline>
        </w:drawing>
      </w:r>
    </w:p>
    <w:p w14:paraId="0E4C7280" w14:textId="77777777" w:rsidR="006007D5" w:rsidRDefault="006007D5" w:rsidP="00D36858">
      <w:pPr>
        <w:rPr>
          <w:rFonts w:ascii="Arial" w:hAnsi="Arial" w:cs="Arial"/>
        </w:rPr>
      </w:pPr>
    </w:p>
    <w:p w14:paraId="69E0C18A" w14:textId="77777777" w:rsidR="006007D5" w:rsidRDefault="006007D5" w:rsidP="00D36858">
      <w:pPr>
        <w:rPr>
          <w:rFonts w:ascii="Arial" w:hAnsi="Arial" w:cs="Arial"/>
        </w:rPr>
      </w:pPr>
    </w:p>
    <w:p w14:paraId="056370D0" w14:textId="77777777" w:rsidR="006007D5" w:rsidRDefault="006007D5" w:rsidP="00D36858">
      <w:pPr>
        <w:rPr>
          <w:rFonts w:ascii="Arial" w:hAnsi="Arial" w:cs="Arial"/>
        </w:rPr>
      </w:pPr>
    </w:p>
    <w:p w14:paraId="0EF6431A" w14:textId="78155155" w:rsidR="006007D5" w:rsidRPr="006007D5" w:rsidRDefault="007F60DF" w:rsidP="00685111">
      <w:pPr>
        <w:jc w:val="center"/>
        <w:rPr>
          <w:rFonts w:ascii="Arial" w:hAnsi="Arial" w:cs="Arial"/>
          <w:b/>
          <w:bCs/>
          <w:sz w:val="24"/>
          <w:szCs w:val="24"/>
        </w:rPr>
      </w:pPr>
      <w:r>
        <w:rPr>
          <w:rFonts w:ascii="Arial" w:hAnsi="Arial" w:cs="Arial"/>
          <w:b/>
          <w:bCs/>
          <w:sz w:val="24"/>
          <w:szCs w:val="24"/>
        </w:rPr>
        <w:t>LIVRO</w:t>
      </w:r>
      <w:r w:rsidR="006007D5" w:rsidRPr="006007D5">
        <w:rPr>
          <w:rFonts w:ascii="Arial" w:hAnsi="Arial" w:cs="Arial"/>
          <w:b/>
          <w:bCs/>
          <w:sz w:val="24"/>
          <w:szCs w:val="24"/>
        </w:rPr>
        <w:t xml:space="preserve"> DE RESUMOS DO</w:t>
      </w:r>
    </w:p>
    <w:p w14:paraId="1878FC83" w14:textId="77777777" w:rsidR="006007D5" w:rsidRPr="006007D5" w:rsidRDefault="006007D5" w:rsidP="006007D5">
      <w:pPr>
        <w:jc w:val="center"/>
        <w:rPr>
          <w:rFonts w:ascii="Arial" w:hAnsi="Arial" w:cs="Arial"/>
          <w:b/>
          <w:bCs/>
          <w:sz w:val="24"/>
          <w:szCs w:val="24"/>
        </w:rPr>
      </w:pPr>
      <w:r w:rsidRPr="006007D5">
        <w:rPr>
          <w:rFonts w:ascii="Arial" w:hAnsi="Arial" w:cs="Arial"/>
          <w:b/>
          <w:bCs/>
          <w:sz w:val="24"/>
          <w:szCs w:val="24"/>
        </w:rPr>
        <w:t>X SEMINÁRIO EM CIÊNCIAS FARMACÊUTICAS</w:t>
      </w:r>
    </w:p>
    <w:p w14:paraId="747BECAD" w14:textId="77777777" w:rsidR="006007D5" w:rsidRPr="006007D5" w:rsidRDefault="006007D5" w:rsidP="006007D5">
      <w:pPr>
        <w:jc w:val="center"/>
        <w:rPr>
          <w:rFonts w:ascii="Arial" w:hAnsi="Arial" w:cs="Arial"/>
          <w:b/>
          <w:bCs/>
          <w:sz w:val="24"/>
          <w:szCs w:val="24"/>
        </w:rPr>
      </w:pPr>
      <w:r w:rsidRPr="006007D5">
        <w:rPr>
          <w:rFonts w:ascii="Arial" w:hAnsi="Arial" w:cs="Arial"/>
          <w:b/>
          <w:bCs/>
          <w:sz w:val="24"/>
          <w:szCs w:val="24"/>
        </w:rPr>
        <w:t>VII PHARMACEUTICAL SCIENCES MEETING</w:t>
      </w:r>
    </w:p>
    <w:p w14:paraId="14F741C9" w14:textId="5118A071" w:rsidR="006007D5" w:rsidRPr="006007D5" w:rsidRDefault="006007D5" w:rsidP="006007D5">
      <w:pPr>
        <w:jc w:val="center"/>
        <w:rPr>
          <w:rFonts w:ascii="Arial" w:hAnsi="Arial" w:cs="Arial"/>
          <w:b/>
          <w:bCs/>
          <w:sz w:val="24"/>
          <w:szCs w:val="24"/>
        </w:rPr>
      </w:pPr>
      <w:r w:rsidRPr="006007D5">
        <w:rPr>
          <w:rFonts w:ascii="Arial" w:hAnsi="Arial" w:cs="Arial"/>
          <w:b/>
          <w:bCs/>
          <w:sz w:val="24"/>
          <w:szCs w:val="24"/>
        </w:rPr>
        <w:t xml:space="preserve">22 a 23 de </w:t>
      </w:r>
      <w:proofErr w:type="gramStart"/>
      <w:r w:rsidRPr="006007D5">
        <w:rPr>
          <w:rFonts w:ascii="Arial" w:hAnsi="Arial" w:cs="Arial"/>
          <w:b/>
          <w:bCs/>
          <w:sz w:val="24"/>
          <w:szCs w:val="24"/>
        </w:rPr>
        <w:t>Outubro</w:t>
      </w:r>
      <w:proofErr w:type="gramEnd"/>
      <w:r w:rsidRPr="006007D5">
        <w:rPr>
          <w:rFonts w:ascii="Arial" w:hAnsi="Arial" w:cs="Arial"/>
          <w:b/>
          <w:bCs/>
          <w:sz w:val="24"/>
          <w:szCs w:val="24"/>
        </w:rPr>
        <w:t xml:space="preserve"> de 2025</w:t>
      </w:r>
    </w:p>
    <w:p w14:paraId="6EF95650" w14:textId="77777777" w:rsidR="006007D5" w:rsidRDefault="006007D5" w:rsidP="00D36858">
      <w:pPr>
        <w:rPr>
          <w:rFonts w:ascii="Arial" w:hAnsi="Arial" w:cs="Arial"/>
        </w:rPr>
      </w:pPr>
    </w:p>
    <w:p w14:paraId="087177A9" w14:textId="77777777" w:rsidR="006007D5" w:rsidRDefault="006007D5" w:rsidP="00D36858">
      <w:pPr>
        <w:rPr>
          <w:rFonts w:ascii="Arial" w:hAnsi="Arial" w:cs="Arial"/>
        </w:rPr>
      </w:pPr>
    </w:p>
    <w:p w14:paraId="21EDB929" w14:textId="7EAED733" w:rsidR="006007D5" w:rsidRPr="00AA3EB6" w:rsidRDefault="00AA3EB6" w:rsidP="00AA3EB6">
      <w:pPr>
        <w:jc w:val="center"/>
        <w:rPr>
          <w:rFonts w:ascii="Arial" w:hAnsi="Arial" w:cs="Arial"/>
          <w:b/>
          <w:bCs/>
          <w:sz w:val="32"/>
          <w:szCs w:val="32"/>
        </w:rPr>
      </w:pPr>
      <w:r>
        <w:rPr>
          <w:rFonts w:ascii="Arial" w:hAnsi="Arial" w:cs="Arial"/>
          <w:b/>
          <w:bCs/>
          <w:sz w:val="32"/>
          <w:szCs w:val="32"/>
        </w:rPr>
        <w:t>Organização</w:t>
      </w:r>
    </w:p>
    <w:p w14:paraId="6B8EEC8A" w14:textId="48DBBC48" w:rsidR="006007D5" w:rsidRPr="006007D5" w:rsidRDefault="00AA3EB6" w:rsidP="00685111">
      <w:pPr>
        <w:jc w:val="center"/>
        <w:rPr>
          <w:rFonts w:ascii="Arial" w:hAnsi="Arial" w:cs="Arial"/>
        </w:rPr>
      </w:pPr>
      <w:r>
        <w:rPr>
          <w:rFonts w:ascii="Arial" w:hAnsi="Arial" w:cs="Arial"/>
          <w:noProof/>
        </w:rPr>
        <w:drawing>
          <wp:inline distT="0" distB="0" distL="0" distR="0" wp14:anchorId="71ACC40A" wp14:editId="4CA3A2C0">
            <wp:extent cx="561975" cy="512242"/>
            <wp:effectExtent l="0" t="0" r="0" b="2540"/>
            <wp:docPr id="1797820005"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688" cy="520184"/>
                    </a:xfrm>
                    <a:prstGeom prst="rect">
                      <a:avLst/>
                    </a:prstGeom>
                    <a:noFill/>
                  </pic:spPr>
                </pic:pic>
              </a:graphicData>
            </a:graphic>
          </wp:inline>
        </w:drawing>
      </w:r>
      <w:r w:rsidR="00685111">
        <w:rPr>
          <w:rFonts w:ascii="Arial" w:hAnsi="Arial" w:cs="Arial"/>
          <w:noProof/>
        </w:rPr>
        <w:t xml:space="preserve">      </w:t>
      </w:r>
      <w:r>
        <w:rPr>
          <w:rFonts w:ascii="Arial" w:hAnsi="Arial" w:cs="Arial"/>
          <w:noProof/>
        </w:rPr>
        <w:drawing>
          <wp:inline distT="0" distB="0" distL="0" distR="0" wp14:anchorId="66500E83" wp14:editId="6ABF6C1E">
            <wp:extent cx="609600" cy="601508"/>
            <wp:effectExtent l="0" t="0" r="0" b="8255"/>
            <wp:docPr id="187231923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623" cy="607451"/>
                    </a:xfrm>
                    <a:prstGeom prst="rect">
                      <a:avLst/>
                    </a:prstGeom>
                    <a:noFill/>
                  </pic:spPr>
                </pic:pic>
              </a:graphicData>
            </a:graphic>
          </wp:inline>
        </w:drawing>
      </w:r>
      <w:r w:rsidR="00685111">
        <w:rPr>
          <w:rFonts w:ascii="Arial" w:hAnsi="Arial" w:cs="Arial"/>
          <w:noProof/>
        </w:rPr>
        <w:t xml:space="preserve">     </w:t>
      </w:r>
      <w:r>
        <w:rPr>
          <w:rFonts w:ascii="Arial" w:hAnsi="Arial" w:cs="Arial"/>
          <w:noProof/>
        </w:rPr>
        <w:drawing>
          <wp:inline distT="0" distB="0" distL="0" distR="0" wp14:anchorId="6C2EBD8C" wp14:editId="18B8FCD6">
            <wp:extent cx="542925" cy="494878"/>
            <wp:effectExtent l="0" t="0" r="0" b="635"/>
            <wp:docPr id="1828405819"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971" cy="500389"/>
                    </a:xfrm>
                    <a:prstGeom prst="rect">
                      <a:avLst/>
                    </a:prstGeom>
                    <a:noFill/>
                  </pic:spPr>
                </pic:pic>
              </a:graphicData>
            </a:graphic>
          </wp:inline>
        </w:drawing>
      </w:r>
      <w:r w:rsidR="00685111">
        <w:rPr>
          <w:rFonts w:ascii="Arial" w:hAnsi="Arial" w:cs="Arial"/>
          <w:noProof/>
        </w:rPr>
        <w:t xml:space="preserve">       </w:t>
      </w:r>
      <w:r w:rsidR="00685111">
        <w:rPr>
          <w:rFonts w:ascii="Arial" w:hAnsi="Arial" w:cs="Arial"/>
          <w:noProof/>
        </w:rPr>
        <w:drawing>
          <wp:inline distT="0" distB="0" distL="0" distR="0" wp14:anchorId="320FD4ED" wp14:editId="27BA7282">
            <wp:extent cx="666750" cy="657899"/>
            <wp:effectExtent l="0" t="0" r="0" b="8890"/>
            <wp:docPr id="195459539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2169" cy="663246"/>
                    </a:xfrm>
                    <a:prstGeom prst="rect">
                      <a:avLst/>
                    </a:prstGeom>
                    <a:noFill/>
                  </pic:spPr>
                </pic:pic>
              </a:graphicData>
            </a:graphic>
          </wp:inline>
        </w:drawing>
      </w:r>
    </w:p>
    <w:p w14:paraId="7F2335DB" w14:textId="77777777" w:rsidR="006007D5" w:rsidRPr="00AA3EB6" w:rsidRDefault="006007D5" w:rsidP="006007D5">
      <w:pPr>
        <w:rPr>
          <w:rFonts w:ascii="Arial" w:hAnsi="Arial" w:cs="Arial"/>
          <w:sz w:val="32"/>
          <w:szCs w:val="32"/>
        </w:rPr>
      </w:pPr>
    </w:p>
    <w:p w14:paraId="48330ADE" w14:textId="77777777" w:rsidR="00685111" w:rsidRDefault="00685111" w:rsidP="00AA3EB6">
      <w:pPr>
        <w:jc w:val="center"/>
        <w:rPr>
          <w:rFonts w:ascii="Arial" w:hAnsi="Arial" w:cs="Arial"/>
          <w:b/>
          <w:bCs/>
          <w:sz w:val="32"/>
          <w:szCs w:val="32"/>
        </w:rPr>
      </w:pPr>
      <w:r>
        <w:rPr>
          <w:rFonts w:ascii="Arial" w:hAnsi="Arial" w:cs="Arial"/>
          <w:b/>
          <w:bCs/>
          <w:sz w:val="32"/>
          <w:szCs w:val="32"/>
        </w:rPr>
        <w:t xml:space="preserve"> </w:t>
      </w:r>
    </w:p>
    <w:p w14:paraId="7451A2E7" w14:textId="28928408" w:rsidR="006007D5" w:rsidRPr="00AA3EB6" w:rsidRDefault="00685111" w:rsidP="00AA3EB6">
      <w:pPr>
        <w:jc w:val="center"/>
        <w:rPr>
          <w:rFonts w:ascii="Arial" w:hAnsi="Arial" w:cs="Arial"/>
          <w:b/>
          <w:bCs/>
          <w:sz w:val="32"/>
          <w:szCs w:val="32"/>
        </w:rPr>
      </w:pPr>
      <w:r w:rsidRPr="00AA3EB6">
        <w:rPr>
          <w:rFonts w:ascii="Arial" w:hAnsi="Arial" w:cs="Arial"/>
          <w:b/>
          <w:bCs/>
          <w:sz w:val="32"/>
          <w:szCs w:val="32"/>
        </w:rPr>
        <w:t>Patrocínio</w:t>
      </w:r>
    </w:p>
    <w:p w14:paraId="25687892" w14:textId="56AA737C" w:rsidR="006007D5" w:rsidRPr="006007D5" w:rsidRDefault="00685111" w:rsidP="00685111">
      <w:pPr>
        <w:jc w:val="center"/>
        <w:rPr>
          <w:rFonts w:ascii="Arial" w:hAnsi="Arial" w:cs="Arial"/>
          <w:noProof/>
        </w:rPr>
      </w:pPr>
      <w:r>
        <w:rPr>
          <w:noProof/>
        </w:rPr>
        <w:drawing>
          <wp:inline distT="0" distB="0" distL="0" distR="0" wp14:anchorId="18D352B0" wp14:editId="1F8C1559">
            <wp:extent cx="695325" cy="301387"/>
            <wp:effectExtent l="0" t="0" r="0" b="3810"/>
            <wp:docPr id="213388065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073" cy="304312"/>
                    </a:xfrm>
                    <a:prstGeom prst="rect">
                      <a:avLst/>
                    </a:prstGeom>
                    <a:noFill/>
                    <a:ln>
                      <a:noFill/>
                    </a:ln>
                  </pic:spPr>
                </pic:pic>
              </a:graphicData>
            </a:graphic>
          </wp:inline>
        </w:drawing>
      </w:r>
      <w:r>
        <w:rPr>
          <w:noProof/>
        </w:rPr>
        <w:t xml:space="preserve">         </w:t>
      </w:r>
      <w:r>
        <w:rPr>
          <w:noProof/>
        </w:rPr>
        <w:drawing>
          <wp:inline distT="0" distB="0" distL="0" distR="0" wp14:anchorId="68F89FE6" wp14:editId="10CCE579">
            <wp:extent cx="790575" cy="490503"/>
            <wp:effectExtent l="0" t="0" r="0" b="0"/>
            <wp:docPr id="19336924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6761" cy="494341"/>
                    </a:xfrm>
                    <a:prstGeom prst="rect">
                      <a:avLst/>
                    </a:prstGeom>
                    <a:noFill/>
                    <a:ln>
                      <a:noFill/>
                    </a:ln>
                  </pic:spPr>
                </pic:pic>
              </a:graphicData>
            </a:graphic>
          </wp:inline>
        </w:drawing>
      </w:r>
      <w:r>
        <w:rPr>
          <w:rFonts w:ascii="Arial" w:hAnsi="Arial" w:cs="Arial"/>
          <w:noProof/>
        </w:rPr>
        <w:t xml:space="preserve">         </w:t>
      </w:r>
      <w:r w:rsidR="00AA3EB6">
        <w:rPr>
          <w:rFonts w:ascii="Arial" w:hAnsi="Arial" w:cs="Arial"/>
          <w:noProof/>
        </w:rPr>
        <w:drawing>
          <wp:inline distT="0" distB="0" distL="0" distR="0" wp14:anchorId="32A4D302" wp14:editId="1AC26387">
            <wp:extent cx="819150" cy="305739"/>
            <wp:effectExtent l="0" t="0" r="0" b="0"/>
            <wp:docPr id="1040833829"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154" cy="309846"/>
                    </a:xfrm>
                    <a:prstGeom prst="rect">
                      <a:avLst/>
                    </a:prstGeom>
                    <a:noFill/>
                  </pic:spPr>
                </pic:pic>
              </a:graphicData>
            </a:graphic>
          </wp:inline>
        </w:drawing>
      </w:r>
    </w:p>
    <w:p w14:paraId="46AE5F05" w14:textId="77777777" w:rsidR="006007D5" w:rsidRDefault="006007D5" w:rsidP="00D36858">
      <w:pPr>
        <w:rPr>
          <w:rFonts w:ascii="Arial" w:hAnsi="Arial" w:cs="Arial"/>
        </w:rPr>
      </w:pPr>
    </w:p>
    <w:p w14:paraId="110E9CBD" w14:textId="77777777" w:rsidR="006007D5" w:rsidRDefault="006007D5" w:rsidP="00D36858">
      <w:pPr>
        <w:rPr>
          <w:rFonts w:ascii="Arial" w:hAnsi="Arial" w:cs="Arial"/>
        </w:rPr>
      </w:pPr>
    </w:p>
    <w:p w14:paraId="5C87833B" w14:textId="047B943D" w:rsidR="00685111" w:rsidRDefault="00685111" w:rsidP="00685111">
      <w:pPr>
        <w:jc w:val="center"/>
        <w:rPr>
          <w:rFonts w:ascii="Arial" w:hAnsi="Arial" w:cs="Arial"/>
          <w:b/>
          <w:bCs/>
          <w:sz w:val="32"/>
          <w:szCs w:val="32"/>
        </w:rPr>
      </w:pPr>
      <w:r w:rsidRPr="00685111">
        <w:rPr>
          <w:rFonts w:ascii="Arial" w:hAnsi="Arial" w:cs="Arial"/>
          <w:b/>
          <w:bCs/>
          <w:sz w:val="32"/>
          <w:szCs w:val="32"/>
        </w:rPr>
        <w:t>Apoiadores</w:t>
      </w:r>
    </w:p>
    <w:p w14:paraId="76788280" w14:textId="59266391" w:rsidR="00685111" w:rsidRDefault="00685111" w:rsidP="00685111">
      <w:pPr>
        <w:jc w:val="center"/>
        <w:rPr>
          <w:noProof/>
        </w:rPr>
      </w:pPr>
      <w:r>
        <w:rPr>
          <w:rFonts w:ascii="Arial" w:hAnsi="Arial" w:cs="Arial"/>
          <w:b/>
          <w:bCs/>
          <w:noProof/>
          <w:sz w:val="32"/>
          <w:szCs w:val="32"/>
        </w:rPr>
        <w:drawing>
          <wp:inline distT="0" distB="0" distL="0" distR="0" wp14:anchorId="0B74CD6E" wp14:editId="7B656187">
            <wp:extent cx="1676400" cy="364162"/>
            <wp:effectExtent l="0" t="0" r="0" b="0"/>
            <wp:docPr id="4284961"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94829" cy="368165"/>
                    </a:xfrm>
                    <a:prstGeom prst="rect">
                      <a:avLst/>
                    </a:prstGeom>
                    <a:noFill/>
                  </pic:spPr>
                </pic:pic>
              </a:graphicData>
            </a:graphic>
          </wp:inline>
        </w:drawing>
      </w:r>
      <w:r>
        <w:rPr>
          <w:noProof/>
        </w:rPr>
        <w:t xml:space="preserve">      </w:t>
      </w:r>
      <w:r>
        <w:rPr>
          <w:noProof/>
        </w:rPr>
        <w:drawing>
          <wp:inline distT="0" distB="0" distL="0" distR="0" wp14:anchorId="2767834F" wp14:editId="011B3F9F">
            <wp:extent cx="752475" cy="501650"/>
            <wp:effectExtent l="0" t="0" r="9525" b="0"/>
            <wp:docPr id="702659934"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53311" cy="502207"/>
                    </a:xfrm>
                    <a:prstGeom prst="rect">
                      <a:avLst/>
                    </a:prstGeom>
                    <a:noFill/>
                    <a:ln>
                      <a:noFill/>
                    </a:ln>
                  </pic:spPr>
                </pic:pic>
              </a:graphicData>
            </a:graphic>
          </wp:inline>
        </w:drawing>
      </w:r>
    </w:p>
    <w:p w14:paraId="45E752F5" w14:textId="3DAA0CBD" w:rsidR="006007D5" w:rsidRPr="00685111" w:rsidRDefault="00685111" w:rsidP="00685111">
      <w:pPr>
        <w:jc w:val="center"/>
        <w:rPr>
          <w:rFonts w:ascii="Arial" w:hAnsi="Arial" w:cs="Arial"/>
          <w:b/>
          <w:bCs/>
          <w:sz w:val="32"/>
          <w:szCs w:val="32"/>
        </w:rPr>
      </w:pPr>
      <w:r>
        <w:rPr>
          <w:noProof/>
        </w:rPr>
        <w:drawing>
          <wp:inline distT="0" distB="0" distL="0" distR="0" wp14:anchorId="5E4CCEDA" wp14:editId="433A7F33">
            <wp:extent cx="771525" cy="767013"/>
            <wp:effectExtent l="0" t="0" r="0" b="0"/>
            <wp:docPr id="178406414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6234" cy="771694"/>
                    </a:xfrm>
                    <a:prstGeom prst="rect">
                      <a:avLst/>
                    </a:prstGeom>
                    <a:noFill/>
                  </pic:spPr>
                </pic:pic>
              </a:graphicData>
            </a:graphic>
          </wp:inline>
        </w:drawing>
      </w:r>
      <w:r>
        <w:rPr>
          <w:rFonts w:ascii="Arial" w:hAnsi="Arial" w:cs="Arial"/>
          <w:b/>
          <w:bCs/>
          <w:noProof/>
          <w:sz w:val="32"/>
          <w:szCs w:val="32"/>
        </w:rPr>
        <w:t xml:space="preserve"> </w:t>
      </w:r>
      <w:r>
        <w:rPr>
          <w:rFonts w:ascii="Arial" w:hAnsi="Arial" w:cs="Arial"/>
          <w:b/>
          <w:bCs/>
          <w:noProof/>
          <w:sz w:val="32"/>
          <w:szCs w:val="32"/>
        </w:rPr>
        <w:drawing>
          <wp:inline distT="0" distB="0" distL="0" distR="0" wp14:anchorId="2581DDCD" wp14:editId="0226C86F">
            <wp:extent cx="809625" cy="821444"/>
            <wp:effectExtent l="0" t="0" r="0" b="0"/>
            <wp:docPr id="1879907936"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2486" cy="824346"/>
                    </a:xfrm>
                    <a:prstGeom prst="rect">
                      <a:avLst/>
                    </a:prstGeom>
                    <a:noFill/>
                  </pic:spPr>
                </pic:pic>
              </a:graphicData>
            </a:graphic>
          </wp:inline>
        </w:drawing>
      </w:r>
      <w:r>
        <w:rPr>
          <w:rFonts w:ascii="Arial" w:hAnsi="Arial" w:cs="Arial"/>
          <w:noProof/>
        </w:rPr>
        <w:t xml:space="preserve">    </w:t>
      </w:r>
      <w:r>
        <w:rPr>
          <w:rFonts w:ascii="Arial" w:hAnsi="Arial" w:cs="Arial"/>
          <w:noProof/>
        </w:rPr>
        <w:drawing>
          <wp:inline distT="0" distB="0" distL="0" distR="0" wp14:anchorId="367E3E7C" wp14:editId="46577D5B">
            <wp:extent cx="742950" cy="669089"/>
            <wp:effectExtent l="0" t="0" r="0" b="0"/>
            <wp:docPr id="739996994"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6021" cy="671855"/>
                    </a:xfrm>
                    <a:prstGeom prst="rect">
                      <a:avLst/>
                    </a:prstGeom>
                    <a:noFill/>
                  </pic:spPr>
                </pic:pic>
              </a:graphicData>
            </a:graphic>
          </wp:inline>
        </w:drawing>
      </w:r>
    </w:p>
    <w:p w14:paraId="505945A9" w14:textId="712EF393" w:rsidR="00D36858" w:rsidRDefault="00A01489" w:rsidP="00D36858">
      <w:pPr>
        <w:rPr>
          <w:rFonts w:ascii="Arial" w:hAnsi="Arial" w:cs="Arial"/>
        </w:rPr>
      </w:pPr>
      <w:r>
        <w:rPr>
          <w:rFonts w:ascii="Arial" w:hAnsi="Arial" w:cs="Arial"/>
        </w:rPr>
        <w:lastRenderedPageBreak/>
        <w:t xml:space="preserve">Catalogação da Publicação elaborada pela </w:t>
      </w:r>
      <w:r w:rsidR="000C2BE9">
        <w:rPr>
          <w:rFonts w:ascii="Arial" w:hAnsi="Arial" w:cs="Arial"/>
        </w:rPr>
        <w:t>U</w:t>
      </w:r>
      <w:r>
        <w:rPr>
          <w:rFonts w:ascii="Arial" w:hAnsi="Arial" w:cs="Arial"/>
        </w:rPr>
        <w:t>niversidade Vila Velha</w:t>
      </w:r>
    </w:p>
    <w:p w14:paraId="1CE0C781" w14:textId="77777777" w:rsidR="00D36858" w:rsidRDefault="00D36858" w:rsidP="00D36858">
      <w:pPr>
        <w:rPr>
          <w:rFonts w:ascii="Arial" w:hAnsi="Arial" w:cs="Arial"/>
        </w:rPr>
      </w:pPr>
    </w:p>
    <w:p w14:paraId="518D28AC" w14:textId="77777777" w:rsidR="00D36858" w:rsidRDefault="00D36858" w:rsidP="00D36858">
      <w:pPr>
        <w:rPr>
          <w:rFonts w:ascii="Arial" w:hAnsi="Arial" w:cs="Arial"/>
        </w:rPr>
      </w:pPr>
    </w:p>
    <w:p w14:paraId="489FDC72" w14:textId="77777777" w:rsidR="00D36858" w:rsidRDefault="00D36858" w:rsidP="00D36858">
      <w:pPr>
        <w:rPr>
          <w:rFonts w:ascii="Arial" w:hAnsi="Arial" w:cs="Arial"/>
        </w:rPr>
      </w:pPr>
    </w:p>
    <w:p w14:paraId="1800C007" w14:textId="77777777" w:rsidR="00D36858" w:rsidRDefault="00D36858" w:rsidP="00D36858">
      <w:pPr>
        <w:rPr>
          <w:rFonts w:ascii="Arial" w:hAnsi="Arial" w:cs="Arial"/>
        </w:rPr>
      </w:pPr>
    </w:p>
    <w:p w14:paraId="1F089B52" w14:textId="77777777" w:rsidR="00D36858" w:rsidRDefault="00D36858" w:rsidP="00D36858">
      <w:pPr>
        <w:rPr>
          <w:rFonts w:ascii="Arial" w:hAnsi="Arial" w:cs="Arial"/>
        </w:rPr>
      </w:pPr>
    </w:p>
    <w:p w14:paraId="06CF9408" w14:textId="77777777" w:rsidR="00D36858" w:rsidRDefault="00D36858" w:rsidP="00D36858">
      <w:pPr>
        <w:rPr>
          <w:rFonts w:ascii="Arial" w:hAnsi="Arial" w:cs="Arial"/>
        </w:rPr>
      </w:pPr>
    </w:p>
    <w:p w14:paraId="06CFE927" w14:textId="77777777" w:rsidR="00D36858" w:rsidRDefault="00D36858" w:rsidP="00D36858">
      <w:pPr>
        <w:rPr>
          <w:rFonts w:ascii="Arial" w:hAnsi="Arial" w:cs="Arial"/>
        </w:rPr>
      </w:pPr>
    </w:p>
    <w:p w14:paraId="62706879" w14:textId="77777777" w:rsidR="00D36858" w:rsidRDefault="00D36858" w:rsidP="00D36858">
      <w:pPr>
        <w:rPr>
          <w:rFonts w:ascii="Arial" w:hAnsi="Arial" w:cs="Arial"/>
        </w:rPr>
      </w:pPr>
    </w:p>
    <w:p w14:paraId="6E423492" w14:textId="77777777" w:rsidR="00D36858" w:rsidRDefault="00D36858" w:rsidP="00D36858">
      <w:pPr>
        <w:rPr>
          <w:rFonts w:ascii="Arial" w:hAnsi="Arial" w:cs="Arial"/>
        </w:rPr>
      </w:pPr>
    </w:p>
    <w:p w14:paraId="618F7864" w14:textId="77777777" w:rsidR="00D36858" w:rsidRDefault="00D36858" w:rsidP="00D36858">
      <w:pPr>
        <w:rPr>
          <w:rFonts w:ascii="Arial" w:hAnsi="Arial" w:cs="Arial"/>
        </w:rPr>
      </w:pPr>
    </w:p>
    <w:p w14:paraId="258CDE23" w14:textId="77777777" w:rsidR="00D36858" w:rsidRDefault="00D36858" w:rsidP="00D36858">
      <w:pPr>
        <w:rPr>
          <w:rFonts w:ascii="Arial" w:hAnsi="Arial" w:cs="Arial"/>
        </w:rPr>
      </w:pPr>
    </w:p>
    <w:p w14:paraId="3A7DC506" w14:textId="77777777" w:rsidR="00D36858" w:rsidRDefault="00D36858" w:rsidP="00D36858">
      <w:pPr>
        <w:rPr>
          <w:rFonts w:ascii="Arial" w:hAnsi="Arial" w:cs="Arial"/>
        </w:rPr>
      </w:pPr>
    </w:p>
    <w:p w14:paraId="3808692B" w14:textId="77777777" w:rsidR="00D36858" w:rsidRDefault="00D36858" w:rsidP="00D36858">
      <w:pPr>
        <w:rPr>
          <w:rFonts w:ascii="Arial" w:hAnsi="Arial" w:cs="Arial"/>
        </w:rPr>
      </w:pPr>
    </w:p>
    <w:p w14:paraId="562655C9" w14:textId="77777777" w:rsidR="00D36858" w:rsidRDefault="00D36858" w:rsidP="00D36858">
      <w:pPr>
        <w:rPr>
          <w:rFonts w:ascii="Arial" w:hAnsi="Arial" w:cs="Arial"/>
        </w:rPr>
      </w:pPr>
    </w:p>
    <w:p w14:paraId="36066382" w14:textId="77777777" w:rsidR="00D36858" w:rsidRDefault="00D36858" w:rsidP="00D36858">
      <w:pPr>
        <w:rPr>
          <w:rFonts w:ascii="Arial" w:hAnsi="Arial" w:cs="Arial"/>
        </w:rPr>
      </w:pPr>
    </w:p>
    <w:p w14:paraId="41EE7531" w14:textId="77777777" w:rsidR="00D36858" w:rsidRDefault="00D36858" w:rsidP="00D36858">
      <w:pPr>
        <w:rPr>
          <w:rFonts w:ascii="Arial" w:hAnsi="Arial" w:cs="Arial"/>
        </w:rPr>
      </w:pPr>
    </w:p>
    <w:p w14:paraId="0D0E473C" w14:textId="77777777" w:rsidR="00D36858" w:rsidRDefault="00D36858" w:rsidP="00D36858">
      <w:pPr>
        <w:rPr>
          <w:rFonts w:ascii="Arial" w:hAnsi="Arial" w:cs="Arial"/>
        </w:rPr>
      </w:pPr>
    </w:p>
    <w:p w14:paraId="6FC2455F" w14:textId="77777777" w:rsidR="00D36858" w:rsidRDefault="00D36858" w:rsidP="00D36858">
      <w:pPr>
        <w:rPr>
          <w:rFonts w:ascii="Arial" w:hAnsi="Arial" w:cs="Arial"/>
        </w:rPr>
      </w:pPr>
    </w:p>
    <w:p w14:paraId="261DBADA" w14:textId="77777777" w:rsidR="00D36858" w:rsidRDefault="00D36858" w:rsidP="00D36858">
      <w:pPr>
        <w:rPr>
          <w:rFonts w:ascii="Arial" w:hAnsi="Arial" w:cs="Arial"/>
        </w:rPr>
      </w:pPr>
    </w:p>
    <w:p w14:paraId="5D445C63" w14:textId="77777777" w:rsidR="00D36858" w:rsidRDefault="00D36858" w:rsidP="00D36858">
      <w:pPr>
        <w:rPr>
          <w:rFonts w:ascii="Arial" w:hAnsi="Arial" w:cs="Arial"/>
        </w:rPr>
      </w:pPr>
    </w:p>
    <w:p w14:paraId="6805D169" w14:textId="77777777" w:rsidR="00D36858" w:rsidRDefault="00D36858" w:rsidP="00D36858">
      <w:pPr>
        <w:rPr>
          <w:rFonts w:ascii="Arial" w:hAnsi="Arial" w:cs="Arial"/>
        </w:rPr>
      </w:pPr>
    </w:p>
    <w:p w14:paraId="1B2BDCBA" w14:textId="77777777" w:rsidR="00D36858" w:rsidRDefault="00D36858" w:rsidP="00D36858">
      <w:pPr>
        <w:rPr>
          <w:rFonts w:ascii="Arial" w:hAnsi="Arial" w:cs="Arial"/>
        </w:rPr>
      </w:pPr>
    </w:p>
    <w:p w14:paraId="5D147784" w14:textId="77777777" w:rsidR="00D36858" w:rsidRDefault="00D36858" w:rsidP="00D36858">
      <w:pPr>
        <w:rPr>
          <w:rFonts w:ascii="Arial" w:hAnsi="Arial" w:cs="Arial"/>
        </w:rPr>
      </w:pPr>
    </w:p>
    <w:p w14:paraId="4AC387CB" w14:textId="77777777" w:rsidR="00D36858" w:rsidRDefault="00D36858" w:rsidP="00D36858">
      <w:pPr>
        <w:rPr>
          <w:rFonts w:ascii="Arial" w:hAnsi="Arial" w:cs="Arial"/>
        </w:rPr>
      </w:pPr>
    </w:p>
    <w:p w14:paraId="2DA55807" w14:textId="77777777" w:rsidR="00D36858" w:rsidRDefault="00D36858" w:rsidP="00D36858">
      <w:pPr>
        <w:rPr>
          <w:rFonts w:ascii="Arial" w:hAnsi="Arial" w:cs="Arial"/>
        </w:rPr>
      </w:pPr>
    </w:p>
    <w:p w14:paraId="0D810506" w14:textId="77777777" w:rsidR="00D36858" w:rsidRDefault="00D36858" w:rsidP="00D36858">
      <w:pPr>
        <w:rPr>
          <w:rFonts w:ascii="Arial" w:hAnsi="Arial" w:cs="Arial"/>
        </w:rPr>
      </w:pPr>
    </w:p>
    <w:p w14:paraId="080A14E2" w14:textId="77777777" w:rsidR="00D36858" w:rsidRDefault="00D36858" w:rsidP="00D36858">
      <w:pPr>
        <w:rPr>
          <w:rFonts w:ascii="Arial" w:hAnsi="Arial" w:cs="Arial"/>
        </w:rPr>
      </w:pPr>
    </w:p>
    <w:p w14:paraId="0FCBB141" w14:textId="77777777" w:rsidR="00D36858" w:rsidRDefault="00D36858" w:rsidP="00D36858">
      <w:pPr>
        <w:rPr>
          <w:rFonts w:ascii="Arial" w:hAnsi="Arial" w:cs="Arial"/>
        </w:rPr>
      </w:pPr>
    </w:p>
    <w:p w14:paraId="1E534D22" w14:textId="77777777" w:rsidR="00D36858" w:rsidRDefault="00D36858" w:rsidP="00D36858">
      <w:pPr>
        <w:rPr>
          <w:rFonts w:ascii="Arial" w:hAnsi="Arial" w:cs="Arial"/>
        </w:rPr>
      </w:pPr>
    </w:p>
    <w:p w14:paraId="5A7D99AB" w14:textId="77777777" w:rsidR="00DB1C12" w:rsidRDefault="00DB1C12" w:rsidP="00D36858">
      <w:pPr>
        <w:rPr>
          <w:rFonts w:ascii="Arial" w:hAnsi="Arial" w:cs="Arial"/>
        </w:rPr>
      </w:pPr>
    </w:p>
    <w:p w14:paraId="409A1162" w14:textId="145BBC4B" w:rsidR="00340A79" w:rsidRPr="00D36858" w:rsidRDefault="00340A79" w:rsidP="00D36858">
      <w:pPr>
        <w:rPr>
          <w:rFonts w:ascii="Arial" w:hAnsi="Arial" w:cs="Arial"/>
        </w:rPr>
      </w:pPr>
      <w:r w:rsidRPr="00DB27EA">
        <w:rPr>
          <w:rFonts w:ascii="Arial" w:hAnsi="Arial" w:cs="Arial"/>
          <w:noProof/>
          <w:lang w:eastAsia="pt-BR"/>
        </w:rPr>
        <w:lastRenderedPageBreak/>
        <w:drawing>
          <wp:anchor distT="0" distB="0" distL="114300" distR="114300" simplePos="0" relativeHeight="251658240" behindDoc="0" locked="0" layoutInCell="1" allowOverlap="1" wp14:anchorId="711E27EA" wp14:editId="6AFA2DF8">
            <wp:simplePos x="0" y="0"/>
            <wp:positionH relativeFrom="margin">
              <wp:align>center</wp:align>
            </wp:positionH>
            <wp:positionV relativeFrom="paragraph">
              <wp:posOffset>0</wp:posOffset>
            </wp:positionV>
            <wp:extent cx="1161415" cy="406400"/>
            <wp:effectExtent l="0" t="0" r="635"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cenca cc.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1415" cy="406400"/>
                    </a:xfrm>
                    <a:prstGeom prst="rect">
                      <a:avLst/>
                    </a:prstGeom>
                  </pic:spPr>
                </pic:pic>
              </a:graphicData>
            </a:graphic>
            <wp14:sizeRelH relativeFrom="margin">
              <wp14:pctWidth>0</wp14:pctWidth>
            </wp14:sizeRelH>
            <wp14:sizeRelV relativeFrom="margin">
              <wp14:pctHeight>0</wp14:pctHeight>
            </wp14:sizeRelV>
          </wp:anchor>
        </w:drawing>
      </w:r>
    </w:p>
    <w:p w14:paraId="7199A92D" w14:textId="77777777" w:rsidR="00324D95" w:rsidRPr="00DB27EA" w:rsidRDefault="00324D95" w:rsidP="00340A79">
      <w:pPr>
        <w:spacing w:after="0" w:line="240" w:lineRule="auto"/>
        <w:jc w:val="center"/>
        <w:rPr>
          <w:rFonts w:ascii="Arial" w:hAnsi="Arial" w:cs="Arial"/>
          <w:b/>
          <w:sz w:val="18"/>
          <w:szCs w:val="18"/>
        </w:rPr>
      </w:pPr>
      <w:r w:rsidRPr="00DB27EA">
        <w:rPr>
          <w:rFonts w:ascii="Arial" w:hAnsi="Arial" w:cs="Arial"/>
          <w:b/>
          <w:sz w:val="18"/>
          <w:szCs w:val="18"/>
        </w:rPr>
        <w:t>Atribuição-Não Comercial - CC BY-NC</w:t>
      </w:r>
    </w:p>
    <w:p w14:paraId="2EFC159D" w14:textId="77777777" w:rsidR="00340A79" w:rsidRPr="00DB27EA" w:rsidRDefault="00324D95" w:rsidP="00340A79">
      <w:pPr>
        <w:spacing w:after="0" w:line="240" w:lineRule="auto"/>
        <w:jc w:val="both"/>
        <w:rPr>
          <w:rFonts w:ascii="Arial" w:hAnsi="Arial" w:cs="Arial"/>
          <w:sz w:val="18"/>
          <w:szCs w:val="18"/>
        </w:rPr>
      </w:pPr>
      <w:r w:rsidRPr="00DB27EA">
        <w:rPr>
          <w:rFonts w:ascii="Arial" w:hAnsi="Arial" w:cs="Arial"/>
          <w:sz w:val="18"/>
          <w:szCs w:val="18"/>
        </w:rPr>
        <w:t>Esta licença permite que outros remixem, adaptem e criem a partir do seu trabalho para fins não comerciais e</w:t>
      </w:r>
      <w:r w:rsidR="0024686A">
        <w:rPr>
          <w:rFonts w:ascii="Arial" w:hAnsi="Arial" w:cs="Arial"/>
          <w:sz w:val="18"/>
          <w:szCs w:val="18"/>
        </w:rPr>
        <w:t>,</w:t>
      </w:r>
      <w:r w:rsidRPr="00DB27EA">
        <w:rPr>
          <w:rFonts w:ascii="Arial" w:hAnsi="Arial" w:cs="Arial"/>
          <w:sz w:val="18"/>
          <w:szCs w:val="18"/>
        </w:rPr>
        <w:t xml:space="preserve"> embora os novos trabalhos tenham de lhe atribuir o devido crédito e não possam ser usados para fins comerciais, os usuários não têm de licenciar esses trabalhos derivados sob os mesmos termos.</w:t>
      </w:r>
      <w:r w:rsidR="00B9647E" w:rsidRPr="00DB27EA">
        <w:rPr>
          <w:rFonts w:ascii="Arial" w:hAnsi="Arial" w:cs="Arial"/>
          <w:sz w:val="18"/>
          <w:szCs w:val="18"/>
        </w:rPr>
        <w:t xml:space="preserve"> </w:t>
      </w:r>
    </w:p>
    <w:p w14:paraId="17D60207" w14:textId="77777777" w:rsidR="00340A79" w:rsidRPr="00DB27EA" w:rsidRDefault="00340A79" w:rsidP="00D44CB7">
      <w:pPr>
        <w:spacing w:after="0" w:line="240" w:lineRule="auto"/>
        <w:jc w:val="both"/>
        <w:rPr>
          <w:rFonts w:ascii="Arial" w:hAnsi="Arial" w:cs="Arial"/>
          <w:sz w:val="18"/>
          <w:szCs w:val="18"/>
        </w:rPr>
      </w:pPr>
    </w:p>
    <w:p w14:paraId="08187FCB" w14:textId="77777777" w:rsidR="00324D95" w:rsidRPr="00DB27EA" w:rsidRDefault="0024686A" w:rsidP="00D44CB7">
      <w:pPr>
        <w:spacing w:after="0" w:line="240" w:lineRule="auto"/>
        <w:jc w:val="both"/>
        <w:rPr>
          <w:rFonts w:ascii="Arial" w:hAnsi="Arial" w:cs="Arial"/>
          <w:sz w:val="18"/>
          <w:szCs w:val="18"/>
        </w:rPr>
      </w:pPr>
      <w:r>
        <w:rPr>
          <w:rFonts w:ascii="Arial" w:hAnsi="Arial" w:cs="Arial"/>
          <w:sz w:val="18"/>
          <w:szCs w:val="18"/>
        </w:rPr>
        <w:t>É permitida</w:t>
      </w:r>
      <w:r w:rsidR="00B9647E" w:rsidRPr="00DB27EA">
        <w:rPr>
          <w:rFonts w:ascii="Arial" w:hAnsi="Arial" w:cs="Arial"/>
          <w:sz w:val="18"/>
          <w:szCs w:val="18"/>
        </w:rPr>
        <w:t xml:space="preserve"> a reprodução total ou parcial desta obra, desde que citada e fonte e para fins não comerciais.</w:t>
      </w:r>
    </w:p>
    <w:p w14:paraId="2EEB3988" w14:textId="77777777" w:rsidR="00167A03" w:rsidRPr="00DB27EA" w:rsidRDefault="00167A03" w:rsidP="00167A03">
      <w:pPr>
        <w:spacing w:after="0" w:line="240" w:lineRule="auto"/>
        <w:jc w:val="both"/>
        <w:rPr>
          <w:rFonts w:ascii="Arial" w:hAnsi="Arial" w:cs="Arial"/>
          <w:sz w:val="18"/>
          <w:szCs w:val="18"/>
        </w:rPr>
      </w:pPr>
    </w:p>
    <w:p w14:paraId="110AE562" w14:textId="77777777" w:rsidR="00167A03" w:rsidRPr="00DB27EA" w:rsidRDefault="00340A79" w:rsidP="00167A03">
      <w:pPr>
        <w:spacing w:after="0" w:line="240" w:lineRule="auto"/>
        <w:jc w:val="both"/>
        <w:rPr>
          <w:rFonts w:ascii="Arial" w:hAnsi="Arial" w:cs="Arial"/>
          <w:sz w:val="18"/>
          <w:szCs w:val="18"/>
        </w:rPr>
      </w:pPr>
      <w:r w:rsidRPr="00DB27EA">
        <w:rPr>
          <w:rFonts w:ascii="Arial" w:hAnsi="Arial" w:cs="Arial"/>
          <w:sz w:val="18"/>
          <w:szCs w:val="18"/>
        </w:rPr>
        <w:t>As ideias contidas nos trab</w:t>
      </w:r>
      <w:r w:rsidR="0024686A">
        <w:rPr>
          <w:rFonts w:ascii="Arial" w:hAnsi="Arial" w:cs="Arial"/>
          <w:sz w:val="18"/>
          <w:szCs w:val="18"/>
        </w:rPr>
        <w:t>alhos, bem</w:t>
      </w:r>
      <w:r w:rsidRPr="00DB27EA">
        <w:rPr>
          <w:rFonts w:ascii="Arial" w:hAnsi="Arial" w:cs="Arial"/>
          <w:sz w:val="18"/>
          <w:szCs w:val="18"/>
        </w:rPr>
        <w:t xml:space="preserve"> como sua elaboração e revisão textual, são de inteira responsabilidade dos autores</w:t>
      </w:r>
      <w:r w:rsidR="00167A03" w:rsidRPr="00DB27EA">
        <w:rPr>
          <w:rFonts w:ascii="Arial" w:hAnsi="Arial" w:cs="Arial"/>
          <w:sz w:val="18"/>
          <w:szCs w:val="18"/>
        </w:rPr>
        <w:t>. O conteúdo dos trabalhos não expressa, necessariamente, a opinião dos organizadores do evento.</w:t>
      </w:r>
    </w:p>
    <w:p w14:paraId="6A0EA54F" w14:textId="77777777" w:rsidR="00167A03" w:rsidRPr="00DB27EA" w:rsidRDefault="00167A03">
      <w:pPr>
        <w:rPr>
          <w:rFonts w:ascii="Arial" w:hAnsi="Arial" w:cs="Arial"/>
        </w:rPr>
      </w:pPr>
    </w:p>
    <w:p w14:paraId="50C8B76E" w14:textId="4E1AFFA1" w:rsidR="00D44CB7" w:rsidRPr="00DB27EA" w:rsidRDefault="00D44CB7" w:rsidP="00E117A0">
      <w:pPr>
        <w:spacing w:after="0" w:line="240" w:lineRule="auto"/>
        <w:rPr>
          <w:rFonts w:ascii="Arial" w:hAnsi="Arial" w:cs="Arial"/>
          <w:sz w:val="24"/>
          <w:szCs w:val="24"/>
        </w:rPr>
      </w:pPr>
      <w:r w:rsidRPr="00DB27EA">
        <w:rPr>
          <w:rFonts w:ascii="Arial" w:hAnsi="Arial" w:cs="Arial"/>
          <w:sz w:val="24"/>
          <w:szCs w:val="24"/>
        </w:rPr>
        <w:t xml:space="preserve"> </w:t>
      </w:r>
    </w:p>
    <w:p w14:paraId="3F31CEA1" w14:textId="77777777" w:rsidR="00D44CB7" w:rsidRPr="00DB27EA" w:rsidRDefault="00D44CB7" w:rsidP="00E117A0">
      <w:pPr>
        <w:spacing w:after="0" w:line="240" w:lineRule="auto"/>
        <w:rPr>
          <w:rFonts w:ascii="Arial" w:hAnsi="Arial" w:cs="Arial"/>
          <w:sz w:val="24"/>
          <w:szCs w:val="24"/>
        </w:rPr>
      </w:pPr>
    </w:p>
    <w:p w14:paraId="529861B9" w14:textId="77777777" w:rsidR="00D779F0" w:rsidRPr="00DB27EA" w:rsidRDefault="00D779F0" w:rsidP="00E117A0">
      <w:pPr>
        <w:spacing w:after="0" w:line="240" w:lineRule="auto"/>
        <w:rPr>
          <w:rFonts w:ascii="Arial" w:hAnsi="Arial" w:cs="Arial"/>
        </w:rPr>
      </w:pPr>
    </w:p>
    <w:p w14:paraId="3AE9DB5C" w14:textId="77777777" w:rsidR="00D779F0" w:rsidRPr="00DB27EA" w:rsidRDefault="00D779F0" w:rsidP="00E117A0">
      <w:pPr>
        <w:spacing w:after="0" w:line="240" w:lineRule="auto"/>
        <w:rPr>
          <w:rFonts w:ascii="Arial" w:hAnsi="Arial" w:cs="Arial"/>
        </w:rPr>
      </w:pPr>
    </w:p>
    <w:p w14:paraId="232EFA74" w14:textId="7C73CAFC" w:rsidR="00523F92" w:rsidRPr="00DB27EA" w:rsidRDefault="00523F92">
      <w:pPr>
        <w:rPr>
          <w:rFonts w:ascii="Arial" w:hAnsi="Arial" w:cs="Arial"/>
        </w:rPr>
      </w:pPr>
    </w:p>
    <w:p w14:paraId="5C4B0536" w14:textId="77777777" w:rsidR="00523F92" w:rsidRPr="00DB27EA" w:rsidRDefault="00523F92">
      <w:pPr>
        <w:rPr>
          <w:rFonts w:ascii="Arial" w:hAnsi="Arial" w:cs="Arial"/>
        </w:rPr>
      </w:pPr>
    </w:p>
    <w:p w14:paraId="4513D6FD" w14:textId="77777777" w:rsidR="00523F92" w:rsidRPr="00DB27EA" w:rsidRDefault="00523F92">
      <w:pPr>
        <w:rPr>
          <w:rFonts w:ascii="Arial" w:hAnsi="Arial" w:cs="Arial"/>
        </w:rPr>
      </w:pPr>
    </w:p>
    <w:p w14:paraId="252B70BE" w14:textId="77777777" w:rsidR="00523F92" w:rsidRPr="00DB27EA" w:rsidRDefault="00523F92">
      <w:pPr>
        <w:rPr>
          <w:rFonts w:ascii="Arial" w:hAnsi="Arial" w:cs="Arial"/>
        </w:rPr>
      </w:pPr>
    </w:p>
    <w:p w14:paraId="0E90F1C8" w14:textId="77777777" w:rsidR="00523F92" w:rsidRPr="00DB27EA" w:rsidRDefault="00523F92">
      <w:pPr>
        <w:rPr>
          <w:rFonts w:ascii="Arial" w:hAnsi="Arial" w:cs="Arial"/>
        </w:rPr>
      </w:pPr>
    </w:p>
    <w:p w14:paraId="69984771" w14:textId="77777777" w:rsidR="00523F92" w:rsidRPr="00DB27EA" w:rsidRDefault="00523F92">
      <w:pPr>
        <w:rPr>
          <w:rFonts w:ascii="Arial" w:hAnsi="Arial" w:cs="Arial"/>
        </w:rPr>
      </w:pPr>
    </w:p>
    <w:p w14:paraId="11F9A653" w14:textId="77777777" w:rsidR="00523F92" w:rsidRPr="00DB27EA" w:rsidRDefault="00523F92">
      <w:pPr>
        <w:rPr>
          <w:rFonts w:ascii="Arial" w:hAnsi="Arial" w:cs="Arial"/>
        </w:rPr>
      </w:pPr>
    </w:p>
    <w:p w14:paraId="316E83B0" w14:textId="77777777" w:rsidR="00A65C6A" w:rsidRPr="00DB27EA" w:rsidRDefault="00A65C6A">
      <w:pPr>
        <w:rPr>
          <w:rFonts w:ascii="Arial" w:hAnsi="Arial" w:cs="Arial"/>
        </w:rPr>
      </w:pPr>
    </w:p>
    <w:p w14:paraId="77BEBFFD" w14:textId="77777777" w:rsidR="00A65C6A" w:rsidRPr="00DB27EA" w:rsidRDefault="00A65C6A">
      <w:pPr>
        <w:rPr>
          <w:rFonts w:ascii="Arial" w:hAnsi="Arial" w:cs="Arial"/>
        </w:rPr>
      </w:pPr>
    </w:p>
    <w:p w14:paraId="6BD850EE" w14:textId="77777777" w:rsidR="00A65C6A" w:rsidRPr="00DB27EA" w:rsidRDefault="00A65C6A" w:rsidP="00A65C6A">
      <w:pPr>
        <w:spacing w:after="0" w:line="240" w:lineRule="auto"/>
        <w:rPr>
          <w:rFonts w:ascii="Arial" w:hAnsi="Arial" w:cs="Arial"/>
        </w:rPr>
      </w:pPr>
    </w:p>
    <w:p w14:paraId="64A5BCC2" w14:textId="77777777" w:rsidR="00A65C6A" w:rsidRPr="00DB27EA" w:rsidRDefault="00A65C6A" w:rsidP="00A65C6A">
      <w:pPr>
        <w:spacing w:after="0" w:line="240" w:lineRule="auto"/>
        <w:rPr>
          <w:rFonts w:ascii="Arial" w:hAnsi="Arial" w:cs="Arial"/>
        </w:rPr>
      </w:pPr>
    </w:p>
    <w:p w14:paraId="530BF7AA" w14:textId="0902D6F0" w:rsidR="00A01489" w:rsidRPr="00A01489" w:rsidRDefault="00A65C6A" w:rsidP="00A01489">
      <w:pPr>
        <w:rPr>
          <w:rFonts w:ascii="Arial" w:hAnsi="Arial" w:cs="Arial"/>
          <w:b/>
          <w:bCs/>
          <w:sz w:val="28"/>
          <w:szCs w:val="28"/>
        </w:rPr>
      </w:pPr>
      <w:r w:rsidRPr="00DB27EA">
        <w:rPr>
          <w:rFonts w:ascii="Arial" w:hAnsi="Arial" w:cs="Arial"/>
        </w:rPr>
        <w:br w:type="page"/>
      </w:r>
      <w:r w:rsidR="00A01489" w:rsidRPr="00A01489">
        <w:rPr>
          <w:rFonts w:ascii="Arial" w:hAnsi="Arial" w:cs="Arial"/>
          <w:b/>
          <w:bCs/>
          <w:sz w:val="28"/>
          <w:szCs w:val="28"/>
        </w:rPr>
        <w:lastRenderedPageBreak/>
        <w:t xml:space="preserve">RESUMOS </w:t>
      </w:r>
      <w:r w:rsidR="00A01489" w:rsidRPr="00B167EB">
        <w:rPr>
          <w:rFonts w:ascii="Arial" w:eastAsia="MS Gothic" w:hAnsi="Arial" w:cs="Arial"/>
          <w:b/>
          <w:bCs/>
          <w:sz w:val="28"/>
          <w:szCs w:val="28"/>
        </w:rPr>
        <w:t>DOS ANAIS DO EVENTO</w:t>
      </w:r>
    </w:p>
    <w:p w14:paraId="0D291F3C" w14:textId="77777777" w:rsidR="00A01489" w:rsidRPr="00B167EB" w:rsidRDefault="00A01489" w:rsidP="00A01489">
      <w:pPr>
        <w:keepNext/>
        <w:keepLines/>
        <w:spacing w:before="480" w:after="0" w:line="276" w:lineRule="auto"/>
        <w:outlineLvl w:val="0"/>
        <w:rPr>
          <w:rFonts w:ascii="Arial" w:eastAsia="MS Gothic" w:hAnsi="Arial" w:cs="Arial"/>
          <w:b/>
          <w:bCs/>
          <w:sz w:val="28"/>
          <w:szCs w:val="28"/>
        </w:rPr>
      </w:pPr>
      <w:bookmarkStart w:id="1" w:name="_Toc211954558"/>
      <w:r w:rsidRPr="00B167EB">
        <w:rPr>
          <w:rFonts w:ascii="Arial" w:eastAsia="MS Gothic" w:hAnsi="Arial" w:cs="Arial"/>
          <w:b/>
          <w:bCs/>
          <w:sz w:val="28"/>
          <w:szCs w:val="28"/>
        </w:rPr>
        <w:t>Apresentação</w:t>
      </w:r>
      <w:bookmarkEnd w:id="1"/>
    </w:p>
    <w:p w14:paraId="570FAD47" w14:textId="77777777" w:rsidR="00A01489" w:rsidRPr="00B167EB" w:rsidRDefault="00A01489" w:rsidP="00A01489">
      <w:pPr>
        <w:spacing w:after="200" w:line="276" w:lineRule="auto"/>
        <w:rPr>
          <w:rFonts w:ascii="Arial" w:eastAsia="MS Mincho" w:hAnsi="Arial" w:cs="Arial"/>
          <w:sz w:val="24"/>
          <w:szCs w:val="24"/>
        </w:rPr>
      </w:pPr>
    </w:p>
    <w:p w14:paraId="7D9FF88A" w14:textId="2F2B652E" w:rsidR="00A01489" w:rsidRPr="00B167EB" w:rsidRDefault="00A01489" w:rsidP="000C2BE9">
      <w:pPr>
        <w:spacing w:after="200" w:line="276" w:lineRule="auto"/>
        <w:jc w:val="both"/>
        <w:rPr>
          <w:rFonts w:ascii="Arial" w:eastAsia="MS Mincho" w:hAnsi="Arial" w:cs="Arial"/>
          <w:sz w:val="24"/>
          <w:szCs w:val="24"/>
        </w:rPr>
      </w:pPr>
      <w:r w:rsidRPr="00B167EB">
        <w:rPr>
          <w:rFonts w:ascii="Arial" w:eastAsia="MS Mincho" w:hAnsi="Arial" w:cs="Arial"/>
          <w:sz w:val="24"/>
          <w:szCs w:val="24"/>
        </w:rPr>
        <w:t xml:space="preserve">Os Anais do X Seminário em Ciências Farmacêuticas / VII Pharmaceutical Sciences Meeting reúnem os resumos e trabalhos apresentados durante os dias 22 e 23 de outubro de 2025, na Universidade Vila Velha (UVV). O evento teve como objetivo promover a troca de experiências entre pesquisadores, docentes, discentes e profissionais da área farmacêutica e afins, incentivando a divulgação científica e a formação acadêmica de qualidade. Ao longo dos dois dias, foram apresentados trabalhos nas </w:t>
      </w:r>
      <w:r w:rsidR="006007D5" w:rsidRPr="00B167EB">
        <w:rPr>
          <w:rFonts w:ascii="Arial" w:eastAsia="MS Mincho" w:hAnsi="Arial" w:cs="Arial"/>
          <w:sz w:val="24"/>
          <w:szCs w:val="24"/>
        </w:rPr>
        <w:t>modalidades pôster</w:t>
      </w:r>
      <w:r w:rsidRPr="00B167EB">
        <w:rPr>
          <w:rFonts w:ascii="Arial" w:eastAsia="MS Mincho" w:hAnsi="Arial" w:cs="Arial"/>
          <w:sz w:val="24"/>
          <w:szCs w:val="24"/>
        </w:rPr>
        <w:t>, abrangendo temas na grande área das ciencias farmaceuticas. A Comissão Organizadora agradece a participação de todos e o apoio institucional que tornou este evento possível.</w:t>
      </w:r>
    </w:p>
    <w:p w14:paraId="5B7E7326" w14:textId="77777777" w:rsidR="00A01489" w:rsidRPr="00021115" w:rsidRDefault="00A01489" w:rsidP="00167A03">
      <w:pPr>
        <w:jc w:val="center"/>
        <w:rPr>
          <w:rFonts w:ascii="Arial" w:hAnsi="Arial" w:cs="Arial"/>
          <w:sz w:val="24"/>
          <w:szCs w:val="24"/>
        </w:rPr>
      </w:pPr>
    </w:p>
    <w:p w14:paraId="5E12A1E3" w14:textId="77777777" w:rsidR="00021115" w:rsidRDefault="00021115" w:rsidP="00021115">
      <w:pPr>
        <w:spacing w:after="0"/>
        <w:rPr>
          <w:rFonts w:ascii="Arial" w:hAnsi="Arial" w:cs="Arial"/>
          <w:b/>
          <w:bCs/>
          <w:sz w:val="24"/>
          <w:szCs w:val="24"/>
        </w:rPr>
        <w:sectPr w:rsidR="00021115">
          <w:pgSz w:w="11906" w:h="16838"/>
          <w:pgMar w:top="1417" w:right="1701" w:bottom="1417" w:left="1701" w:header="708" w:footer="708" w:gutter="0"/>
          <w:cols w:space="708"/>
          <w:docGrid w:linePitch="360"/>
        </w:sectPr>
      </w:pPr>
    </w:p>
    <w:p w14:paraId="7226CAEE" w14:textId="77777777" w:rsidR="00021115" w:rsidRPr="00021115" w:rsidRDefault="00DB1C12" w:rsidP="00021115">
      <w:pPr>
        <w:spacing w:after="0"/>
        <w:rPr>
          <w:rFonts w:ascii="Arial" w:hAnsi="Arial" w:cs="Arial"/>
          <w:b/>
          <w:bCs/>
          <w:sz w:val="24"/>
          <w:szCs w:val="24"/>
        </w:rPr>
      </w:pPr>
      <w:r w:rsidRPr="00021115">
        <w:rPr>
          <w:rFonts w:ascii="Arial" w:hAnsi="Arial" w:cs="Arial"/>
          <w:b/>
          <w:bCs/>
          <w:sz w:val="24"/>
          <w:szCs w:val="24"/>
        </w:rPr>
        <w:t xml:space="preserve">Coordenadores          </w:t>
      </w:r>
    </w:p>
    <w:p w14:paraId="4C570740" w14:textId="77777777" w:rsidR="00021115" w:rsidRPr="00021115" w:rsidRDefault="00021115" w:rsidP="00021115">
      <w:pPr>
        <w:spacing w:after="0"/>
        <w:rPr>
          <w:rFonts w:ascii="Arial" w:hAnsi="Arial" w:cs="Arial"/>
          <w:sz w:val="24"/>
          <w:szCs w:val="24"/>
        </w:rPr>
      </w:pPr>
      <w:r w:rsidRPr="00021115">
        <w:rPr>
          <w:rFonts w:ascii="Arial" w:hAnsi="Arial" w:cs="Arial"/>
          <w:sz w:val="24"/>
          <w:szCs w:val="24"/>
        </w:rPr>
        <w:t xml:space="preserve">Marcio </w:t>
      </w:r>
      <w:proofErr w:type="spellStart"/>
      <w:r w:rsidRPr="00021115">
        <w:rPr>
          <w:rFonts w:ascii="Arial" w:hAnsi="Arial" w:cs="Arial"/>
          <w:sz w:val="24"/>
          <w:szCs w:val="24"/>
        </w:rPr>
        <w:t>Fronza</w:t>
      </w:r>
      <w:proofErr w:type="spellEnd"/>
      <w:r w:rsidR="00DB1C12" w:rsidRPr="00021115">
        <w:rPr>
          <w:rFonts w:ascii="Arial" w:hAnsi="Arial" w:cs="Arial"/>
          <w:sz w:val="24"/>
          <w:szCs w:val="24"/>
        </w:rPr>
        <w:t xml:space="preserve">             </w:t>
      </w:r>
    </w:p>
    <w:p w14:paraId="023F0074" w14:textId="66A7CFC5" w:rsidR="006007D5" w:rsidRPr="00021115" w:rsidRDefault="00021115" w:rsidP="00021115">
      <w:pPr>
        <w:spacing w:after="0"/>
        <w:rPr>
          <w:rFonts w:ascii="Arial" w:hAnsi="Arial" w:cs="Arial"/>
          <w:sz w:val="24"/>
          <w:szCs w:val="24"/>
        </w:rPr>
      </w:pPr>
      <w:r w:rsidRPr="00021115">
        <w:rPr>
          <w:rFonts w:ascii="Arial" w:hAnsi="Arial" w:cs="Arial"/>
          <w:sz w:val="24"/>
          <w:szCs w:val="24"/>
        </w:rPr>
        <w:t>Eduardo Cole</w:t>
      </w:r>
      <w:r w:rsidR="00DB1C12" w:rsidRPr="00021115">
        <w:rPr>
          <w:rFonts w:ascii="Arial" w:hAnsi="Arial" w:cs="Arial"/>
          <w:sz w:val="24"/>
          <w:szCs w:val="24"/>
        </w:rPr>
        <w:t xml:space="preserve">                    </w:t>
      </w:r>
    </w:p>
    <w:p w14:paraId="1F4C2E72" w14:textId="77777777" w:rsidR="006007D5" w:rsidRPr="00021115" w:rsidRDefault="006007D5" w:rsidP="006007D5">
      <w:pPr>
        <w:rPr>
          <w:rFonts w:ascii="Arial" w:hAnsi="Arial" w:cs="Arial"/>
          <w:sz w:val="24"/>
          <w:szCs w:val="24"/>
        </w:rPr>
      </w:pPr>
    </w:p>
    <w:p w14:paraId="3225F96C" w14:textId="41D92AC2" w:rsidR="00A01489" w:rsidRPr="00021115" w:rsidRDefault="00DB1C12" w:rsidP="00021115">
      <w:pPr>
        <w:spacing w:after="0"/>
        <w:rPr>
          <w:rFonts w:ascii="Arial" w:hAnsi="Arial" w:cs="Arial"/>
          <w:b/>
          <w:bCs/>
          <w:sz w:val="24"/>
          <w:szCs w:val="24"/>
        </w:rPr>
      </w:pPr>
      <w:r w:rsidRPr="00021115">
        <w:rPr>
          <w:rFonts w:ascii="Arial" w:hAnsi="Arial" w:cs="Arial"/>
          <w:b/>
          <w:bCs/>
          <w:sz w:val="24"/>
          <w:szCs w:val="24"/>
        </w:rPr>
        <w:t>Editor</w:t>
      </w:r>
    </w:p>
    <w:p w14:paraId="359A320C" w14:textId="0BC9DA83" w:rsidR="00021115" w:rsidRDefault="00021115" w:rsidP="00021115">
      <w:pPr>
        <w:spacing w:after="0"/>
        <w:rPr>
          <w:rFonts w:ascii="Arial" w:hAnsi="Arial" w:cs="Arial"/>
          <w:sz w:val="24"/>
          <w:szCs w:val="24"/>
        </w:rPr>
      </w:pPr>
      <w:r w:rsidRPr="00021115">
        <w:rPr>
          <w:rFonts w:ascii="Arial" w:hAnsi="Arial" w:cs="Arial"/>
          <w:sz w:val="24"/>
          <w:szCs w:val="24"/>
        </w:rPr>
        <w:t>Elaine Cruz de Jesus</w:t>
      </w:r>
    </w:p>
    <w:p w14:paraId="4A7CAD6E" w14:textId="7755CA75" w:rsidR="00AB2FE4" w:rsidRPr="00021115" w:rsidRDefault="00AB2FE4" w:rsidP="00021115">
      <w:pPr>
        <w:spacing w:after="0"/>
        <w:rPr>
          <w:rFonts w:ascii="Arial" w:hAnsi="Arial" w:cs="Arial"/>
          <w:sz w:val="24"/>
          <w:szCs w:val="24"/>
        </w:rPr>
      </w:pPr>
      <w:r>
        <w:rPr>
          <w:rFonts w:ascii="Arial" w:hAnsi="Arial" w:cs="Arial"/>
          <w:sz w:val="24"/>
          <w:szCs w:val="24"/>
        </w:rPr>
        <w:t xml:space="preserve">Julia Salles </w:t>
      </w:r>
      <w:r w:rsidR="00DF0EB9">
        <w:rPr>
          <w:rFonts w:ascii="Arial" w:hAnsi="Arial" w:cs="Arial"/>
          <w:sz w:val="24"/>
          <w:szCs w:val="24"/>
        </w:rPr>
        <w:t>Gava</w:t>
      </w:r>
    </w:p>
    <w:p w14:paraId="038B1F3D" w14:textId="77777777" w:rsidR="006007D5" w:rsidRPr="00021115" w:rsidRDefault="006007D5" w:rsidP="006007D5">
      <w:pPr>
        <w:rPr>
          <w:rFonts w:ascii="Arial" w:hAnsi="Arial" w:cs="Arial"/>
          <w:sz w:val="24"/>
          <w:szCs w:val="24"/>
        </w:rPr>
      </w:pPr>
    </w:p>
    <w:p w14:paraId="63EABB9F" w14:textId="17F0A2EC" w:rsidR="00021115" w:rsidRPr="00021115" w:rsidRDefault="00021115" w:rsidP="00021115">
      <w:pPr>
        <w:spacing w:after="0"/>
        <w:rPr>
          <w:rFonts w:ascii="Arial" w:hAnsi="Arial" w:cs="Arial"/>
          <w:b/>
          <w:bCs/>
          <w:sz w:val="24"/>
          <w:szCs w:val="24"/>
        </w:rPr>
      </w:pPr>
      <w:r w:rsidRPr="00021115">
        <w:rPr>
          <w:rFonts w:ascii="Arial" w:hAnsi="Arial" w:cs="Arial"/>
          <w:b/>
          <w:bCs/>
          <w:sz w:val="24"/>
          <w:szCs w:val="24"/>
        </w:rPr>
        <w:t>Arte da capa</w:t>
      </w:r>
    </w:p>
    <w:p w14:paraId="4E3F5AD8" w14:textId="7083922D" w:rsidR="006007D5" w:rsidRPr="00021115" w:rsidRDefault="00021115" w:rsidP="00021115">
      <w:pPr>
        <w:spacing w:after="0"/>
        <w:rPr>
          <w:rFonts w:ascii="Arial" w:hAnsi="Arial" w:cs="Arial"/>
          <w:sz w:val="24"/>
          <w:szCs w:val="24"/>
        </w:rPr>
      </w:pPr>
      <w:r w:rsidRPr="00021115">
        <w:rPr>
          <w:rFonts w:ascii="Arial" w:hAnsi="Arial" w:cs="Arial"/>
          <w:sz w:val="24"/>
          <w:szCs w:val="24"/>
        </w:rPr>
        <w:t>Julia Salles Gava</w:t>
      </w:r>
    </w:p>
    <w:p w14:paraId="0D83F92D" w14:textId="77777777" w:rsidR="006007D5" w:rsidRPr="00021115" w:rsidRDefault="006007D5" w:rsidP="006007D5">
      <w:pPr>
        <w:rPr>
          <w:rFonts w:ascii="Arial" w:hAnsi="Arial" w:cs="Arial"/>
          <w:sz w:val="24"/>
          <w:szCs w:val="24"/>
        </w:rPr>
      </w:pPr>
    </w:p>
    <w:p w14:paraId="1E203006" w14:textId="7B109148" w:rsidR="006007D5" w:rsidRPr="00021115" w:rsidRDefault="00DB1C12" w:rsidP="00021115">
      <w:pPr>
        <w:spacing w:after="0"/>
        <w:rPr>
          <w:rFonts w:ascii="Arial" w:hAnsi="Arial" w:cs="Arial"/>
          <w:b/>
          <w:bCs/>
          <w:sz w:val="24"/>
          <w:szCs w:val="24"/>
        </w:rPr>
      </w:pPr>
      <w:r w:rsidRPr="00021115">
        <w:rPr>
          <w:rFonts w:ascii="Arial" w:hAnsi="Arial" w:cs="Arial"/>
          <w:b/>
          <w:bCs/>
          <w:sz w:val="24"/>
          <w:szCs w:val="24"/>
        </w:rPr>
        <w:t>Comissão</w:t>
      </w:r>
      <w:r w:rsidR="006007D5" w:rsidRPr="00021115">
        <w:rPr>
          <w:rFonts w:ascii="Arial" w:hAnsi="Arial" w:cs="Arial"/>
          <w:b/>
          <w:bCs/>
          <w:sz w:val="24"/>
          <w:szCs w:val="24"/>
        </w:rPr>
        <w:t xml:space="preserve"> </w:t>
      </w:r>
      <w:r w:rsidRPr="00021115">
        <w:rPr>
          <w:rFonts w:ascii="Arial" w:hAnsi="Arial" w:cs="Arial"/>
          <w:b/>
          <w:bCs/>
          <w:sz w:val="24"/>
          <w:szCs w:val="24"/>
        </w:rPr>
        <w:t>organizadora</w:t>
      </w:r>
    </w:p>
    <w:p w14:paraId="6DDE5430" w14:textId="43B911CC" w:rsidR="00021115" w:rsidRPr="00021115" w:rsidRDefault="00021115" w:rsidP="00021115">
      <w:pPr>
        <w:pStyle w:val="font8"/>
        <w:spacing w:before="0" w:beforeAutospacing="0" w:after="0" w:afterAutospacing="0" w:line="336" w:lineRule="atLeast"/>
        <w:textAlignment w:val="baseline"/>
        <w:rPr>
          <w:rFonts w:ascii="Arial" w:eastAsiaTheme="minorHAnsi" w:hAnsi="Arial" w:cs="Arial"/>
          <w:lang w:eastAsia="en-US"/>
        </w:rPr>
      </w:pPr>
      <w:proofErr w:type="spellStart"/>
      <w:r w:rsidRPr="00021115">
        <w:rPr>
          <w:rFonts w:ascii="Arial" w:eastAsiaTheme="minorHAnsi" w:hAnsi="Arial" w:cs="Arial"/>
          <w:lang w:eastAsia="en-US"/>
        </w:rPr>
        <w:t>Aléxia</w:t>
      </w:r>
      <w:proofErr w:type="spellEnd"/>
      <w:r w:rsidRPr="00021115">
        <w:rPr>
          <w:rFonts w:ascii="Arial" w:eastAsiaTheme="minorHAnsi" w:hAnsi="Arial" w:cs="Arial"/>
          <w:lang w:eastAsia="en-US"/>
        </w:rPr>
        <w:t xml:space="preserve"> </w:t>
      </w:r>
      <w:proofErr w:type="spellStart"/>
      <w:r w:rsidRPr="00021115">
        <w:rPr>
          <w:rFonts w:ascii="Arial" w:eastAsiaTheme="minorHAnsi" w:hAnsi="Arial" w:cs="Arial"/>
          <w:lang w:eastAsia="en-US"/>
        </w:rPr>
        <w:t>Gueller</w:t>
      </w:r>
      <w:proofErr w:type="spellEnd"/>
      <w:r w:rsidRPr="00021115">
        <w:rPr>
          <w:rFonts w:ascii="Arial" w:eastAsiaTheme="minorHAnsi" w:hAnsi="Arial" w:cs="Arial"/>
          <w:lang w:eastAsia="en-US"/>
        </w:rPr>
        <w:t xml:space="preserve"> da Silva Gomes</w:t>
      </w:r>
      <w:r w:rsidRPr="00021115">
        <w:rPr>
          <w:rFonts w:ascii="Arial" w:eastAsiaTheme="minorHAnsi" w:hAnsi="Arial" w:cs="Arial"/>
          <w:lang w:eastAsia="en-US"/>
        </w:rPr>
        <w:br/>
        <w:t xml:space="preserve">Ana Clara </w:t>
      </w:r>
      <w:proofErr w:type="spellStart"/>
      <w:r w:rsidRPr="00021115">
        <w:rPr>
          <w:rFonts w:ascii="Arial" w:eastAsiaTheme="minorHAnsi" w:hAnsi="Arial" w:cs="Arial"/>
          <w:lang w:eastAsia="en-US"/>
        </w:rPr>
        <w:t>Bard</w:t>
      </w:r>
      <w:proofErr w:type="spellEnd"/>
      <w:r w:rsidRPr="00021115">
        <w:rPr>
          <w:rFonts w:ascii="Arial" w:eastAsiaTheme="minorHAnsi" w:hAnsi="Arial" w:cs="Arial"/>
          <w:lang w:eastAsia="en-US"/>
        </w:rPr>
        <w:t xml:space="preserve"> Toledo Alves</w:t>
      </w:r>
      <w:r w:rsidRPr="00021115">
        <w:rPr>
          <w:rFonts w:ascii="Arial" w:eastAsiaTheme="minorHAnsi" w:hAnsi="Arial" w:cs="Arial"/>
          <w:lang w:eastAsia="en-US"/>
        </w:rPr>
        <w:br/>
        <w:t>Ana Clara de Gasperi dos Reis</w:t>
      </w:r>
      <w:r w:rsidRPr="00021115">
        <w:rPr>
          <w:rFonts w:ascii="Arial" w:eastAsiaTheme="minorHAnsi" w:hAnsi="Arial" w:cs="Arial"/>
          <w:lang w:eastAsia="en-US"/>
        </w:rPr>
        <w:br/>
        <w:t>Anna Paula Rollemberg Mesquita</w:t>
      </w:r>
      <w:r w:rsidRPr="00021115">
        <w:rPr>
          <w:rFonts w:ascii="Arial" w:eastAsiaTheme="minorHAnsi" w:hAnsi="Arial" w:cs="Arial"/>
          <w:lang w:eastAsia="en-US"/>
        </w:rPr>
        <w:br/>
        <w:t>Danielle Braga Portes</w:t>
      </w:r>
      <w:r w:rsidRPr="00021115">
        <w:rPr>
          <w:rFonts w:ascii="Arial" w:eastAsiaTheme="minorHAnsi" w:hAnsi="Arial" w:cs="Arial"/>
          <w:lang w:eastAsia="en-US"/>
        </w:rPr>
        <w:br/>
      </w:r>
      <w:proofErr w:type="spellStart"/>
      <w:r w:rsidRPr="00021115">
        <w:rPr>
          <w:rFonts w:ascii="Arial" w:eastAsiaTheme="minorHAnsi" w:hAnsi="Arial" w:cs="Arial"/>
          <w:lang w:eastAsia="en-US"/>
        </w:rPr>
        <w:t>Drielle</w:t>
      </w:r>
      <w:proofErr w:type="spellEnd"/>
      <w:r w:rsidRPr="00021115">
        <w:rPr>
          <w:rFonts w:ascii="Arial" w:eastAsiaTheme="minorHAnsi" w:hAnsi="Arial" w:cs="Arial"/>
          <w:lang w:eastAsia="en-US"/>
        </w:rPr>
        <w:t xml:space="preserve"> Lima de Almeida </w:t>
      </w:r>
      <w:proofErr w:type="spellStart"/>
      <w:r w:rsidRPr="00021115">
        <w:rPr>
          <w:rFonts w:ascii="Arial" w:eastAsiaTheme="minorHAnsi" w:hAnsi="Arial" w:cs="Arial"/>
          <w:lang w:eastAsia="en-US"/>
        </w:rPr>
        <w:t>Pratti</w:t>
      </w:r>
      <w:proofErr w:type="spellEnd"/>
      <w:r w:rsidRPr="00021115">
        <w:rPr>
          <w:rFonts w:ascii="Arial" w:eastAsiaTheme="minorHAnsi" w:hAnsi="Arial" w:cs="Arial"/>
          <w:lang w:eastAsia="en-US"/>
        </w:rPr>
        <w:br/>
      </w:r>
      <w:r w:rsidRPr="00021115">
        <w:rPr>
          <w:rFonts w:ascii="Segoe UI Symbol" w:eastAsiaTheme="minorHAnsi" w:hAnsi="Segoe UI Symbol" w:cs="Segoe UI Symbol"/>
          <w:lang w:eastAsia="en-US"/>
        </w:rPr>
        <w:t>⁠</w:t>
      </w:r>
      <w:r w:rsidRPr="00021115">
        <w:rPr>
          <w:rFonts w:ascii="Arial" w:eastAsiaTheme="minorHAnsi" w:hAnsi="Arial" w:cs="Arial"/>
          <w:lang w:eastAsia="en-US"/>
        </w:rPr>
        <w:t>Eduarda de Souza Belisário</w:t>
      </w:r>
      <w:r w:rsidRPr="00021115">
        <w:rPr>
          <w:rFonts w:ascii="Arial" w:eastAsiaTheme="minorHAnsi" w:hAnsi="Arial" w:cs="Arial"/>
          <w:lang w:eastAsia="en-US"/>
        </w:rPr>
        <w:br/>
      </w:r>
      <w:r w:rsidRPr="00021115">
        <w:rPr>
          <w:rFonts w:ascii="Arial" w:eastAsiaTheme="minorHAnsi" w:hAnsi="Arial" w:cs="Arial"/>
          <w:lang w:eastAsia="en-US"/>
        </w:rPr>
        <w:t>Elaine Cruz de</w:t>
      </w:r>
      <w:r>
        <w:rPr>
          <w:rFonts w:ascii="Arial" w:eastAsiaTheme="minorHAnsi" w:hAnsi="Arial" w:cs="Arial"/>
          <w:lang w:eastAsia="en-US"/>
        </w:rPr>
        <w:t xml:space="preserve"> </w:t>
      </w:r>
      <w:r w:rsidRPr="00021115">
        <w:rPr>
          <w:rFonts w:ascii="Arial" w:eastAsiaTheme="minorHAnsi" w:hAnsi="Arial" w:cs="Arial"/>
          <w:lang w:eastAsia="en-US"/>
        </w:rPr>
        <w:t>Jesus</w:t>
      </w:r>
      <w:r w:rsidRPr="00021115">
        <w:rPr>
          <w:rFonts w:ascii="Arial" w:eastAsiaTheme="minorHAnsi" w:hAnsi="Arial" w:cs="Arial"/>
          <w:lang w:eastAsia="en-US"/>
        </w:rPr>
        <w:br/>
        <w:t xml:space="preserve">Ester </w:t>
      </w:r>
      <w:proofErr w:type="spellStart"/>
      <w:r w:rsidRPr="00021115">
        <w:rPr>
          <w:rFonts w:ascii="Arial" w:eastAsiaTheme="minorHAnsi" w:hAnsi="Arial" w:cs="Arial"/>
          <w:lang w:eastAsia="en-US"/>
        </w:rPr>
        <w:t>Majeski</w:t>
      </w:r>
      <w:proofErr w:type="spellEnd"/>
      <w:r w:rsidRPr="00021115">
        <w:rPr>
          <w:rFonts w:ascii="Arial" w:eastAsiaTheme="minorHAnsi" w:hAnsi="Arial" w:cs="Arial"/>
          <w:lang w:eastAsia="en-US"/>
        </w:rPr>
        <w:t xml:space="preserve"> Souza</w:t>
      </w:r>
    </w:p>
    <w:p w14:paraId="0550B98A" w14:textId="027B9A19" w:rsidR="00021115" w:rsidRPr="00021115" w:rsidRDefault="00021115" w:rsidP="00021115">
      <w:pPr>
        <w:pStyle w:val="font8"/>
        <w:spacing w:before="0" w:beforeAutospacing="0" w:after="0" w:afterAutospacing="0" w:line="336" w:lineRule="atLeast"/>
        <w:textAlignment w:val="baseline"/>
        <w:rPr>
          <w:rFonts w:ascii="Arial" w:eastAsiaTheme="minorHAnsi" w:hAnsi="Arial" w:cs="Arial"/>
          <w:lang w:eastAsia="en-US"/>
        </w:rPr>
      </w:pPr>
      <w:r w:rsidRPr="00021115">
        <w:rPr>
          <w:rFonts w:ascii="Arial" w:eastAsiaTheme="minorHAnsi" w:hAnsi="Arial" w:cs="Arial"/>
          <w:lang w:eastAsia="en-US"/>
        </w:rPr>
        <w:t xml:space="preserve">Esther </w:t>
      </w:r>
      <w:proofErr w:type="spellStart"/>
      <w:r w:rsidRPr="00021115">
        <w:rPr>
          <w:rFonts w:ascii="Arial" w:eastAsiaTheme="minorHAnsi" w:hAnsi="Arial" w:cs="Arial"/>
          <w:lang w:eastAsia="en-US"/>
        </w:rPr>
        <w:t>Schiffler</w:t>
      </w:r>
      <w:proofErr w:type="spellEnd"/>
      <w:r w:rsidRPr="00021115">
        <w:rPr>
          <w:rFonts w:ascii="Arial" w:eastAsiaTheme="minorHAnsi" w:hAnsi="Arial" w:cs="Arial"/>
          <w:lang w:eastAsia="en-US"/>
        </w:rPr>
        <w:t xml:space="preserve"> Silva</w:t>
      </w:r>
      <w:r w:rsidRPr="00021115">
        <w:rPr>
          <w:rFonts w:ascii="Arial" w:eastAsiaTheme="minorHAnsi" w:hAnsi="Arial" w:cs="Arial"/>
          <w:lang w:eastAsia="en-US"/>
        </w:rPr>
        <w:br/>
        <w:t xml:space="preserve">Fabiana de Oliveira </w:t>
      </w:r>
      <w:proofErr w:type="spellStart"/>
      <w:r w:rsidRPr="00021115">
        <w:rPr>
          <w:rFonts w:ascii="Arial" w:eastAsiaTheme="minorHAnsi" w:hAnsi="Arial" w:cs="Arial"/>
          <w:lang w:eastAsia="en-US"/>
        </w:rPr>
        <w:t>Oliveira</w:t>
      </w:r>
      <w:proofErr w:type="spellEnd"/>
      <w:r w:rsidRPr="00021115">
        <w:rPr>
          <w:rFonts w:ascii="Arial" w:eastAsiaTheme="minorHAnsi" w:hAnsi="Arial" w:cs="Arial"/>
          <w:lang w:eastAsia="en-US"/>
        </w:rPr>
        <w:br/>
        <w:t>Heloiza Anacleto Virginio</w:t>
      </w:r>
      <w:r w:rsidRPr="00021115">
        <w:rPr>
          <w:rFonts w:ascii="Arial" w:eastAsiaTheme="minorHAnsi" w:hAnsi="Arial" w:cs="Arial"/>
          <w:lang w:eastAsia="en-US"/>
        </w:rPr>
        <w:br/>
        <w:t>Juliana de Jesus Santana</w:t>
      </w:r>
      <w:r w:rsidRPr="00021115">
        <w:rPr>
          <w:rFonts w:ascii="Arial" w:eastAsiaTheme="minorHAnsi" w:hAnsi="Arial" w:cs="Arial"/>
          <w:lang w:eastAsia="en-US"/>
        </w:rPr>
        <w:br/>
        <w:t xml:space="preserve">Letícia </w:t>
      </w:r>
      <w:proofErr w:type="spellStart"/>
      <w:r w:rsidRPr="00021115">
        <w:rPr>
          <w:rFonts w:ascii="Arial" w:eastAsiaTheme="minorHAnsi" w:hAnsi="Arial" w:cs="Arial"/>
          <w:lang w:eastAsia="en-US"/>
        </w:rPr>
        <w:t>Milli</w:t>
      </w:r>
      <w:proofErr w:type="spellEnd"/>
      <w:r w:rsidRPr="00021115">
        <w:rPr>
          <w:rFonts w:ascii="Arial" w:eastAsiaTheme="minorHAnsi" w:hAnsi="Arial" w:cs="Arial"/>
          <w:lang w:eastAsia="en-US"/>
        </w:rPr>
        <w:t xml:space="preserve"> </w:t>
      </w:r>
      <w:proofErr w:type="spellStart"/>
      <w:r w:rsidRPr="00021115">
        <w:rPr>
          <w:rFonts w:ascii="Arial" w:eastAsiaTheme="minorHAnsi" w:hAnsi="Arial" w:cs="Arial"/>
          <w:lang w:eastAsia="en-US"/>
        </w:rPr>
        <w:t>Corteletti</w:t>
      </w:r>
      <w:proofErr w:type="spellEnd"/>
      <w:r w:rsidRPr="00021115">
        <w:rPr>
          <w:rFonts w:ascii="Arial" w:eastAsiaTheme="minorHAnsi" w:hAnsi="Arial" w:cs="Arial"/>
          <w:lang w:eastAsia="en-US"/>
        </w:rPr>
        <w:br/>
        <w:t>Lícia Cristina Silva de Lima Oliveira</w:t>
      </w:r>
      <w:r w:rsidRPr="00021115">
        <w:rPr>
          <w:rFonts w:ascii="Arial" w:eastAsiaTheme="minorHAnsi" w:hAnsi="Arial" w:cs="Arial"/>
          <w:lang w:eastAsia="en-US"/>
        </w:rPr>
        <w:br/>
      </w:r>
      <w:proofErr w:type="spellStart"/>
      <w:r w:rsidRPr="00021115">
        <w:rPr>
          <w:rFonts w:ascii="Arial" w:eastAsiaTheme="minorHAnsi" w:hAnsi="Arial" w:cs="Arial"/>
          <w:lang w:eastAsia="en-US"/>
        </w:rPr>
        <w:t>Luis</w:t>
      </w:r>
      <w:proofErr w:type="spellEnd"/>
      <w:r w:rsidRPr="00021115">
        <w:rPr>
          <w:rFonts w:ascii="Arial" w:eastAsiaTheme="minorHAnsi" w:hAnsi="Arial" w:cs="Arial"/>
          <w:lang w:eastAsia="en-US"/>
        </w:rPr>
        <w:t xml:space="preserve"> Filipe Faria </w:t>
      </w:r>
      <w:proofErr w:type="spellStart"/>
      <w:r w:rsidRPr="00021115">
        <w:rPr>
          <w:rFonts w:ascii="Arial" w:eastAsiaTheme="minorHAnsi" w:hAnsi="Arial" w:cs="Arial"/>
          <w:lang w:eastAsia="en-US"/>
        </w:rPr>
        <w:t>Verdan</w:t>
      </w:r>
      <w:proofErr w:type="spellEnd"/>
      <w:r w:rsidRPr="00021115">
        <w:rPr>
          <w:rFonts w:ascii="Arial" w:eastAsiaTheme="minorHAnsi" w:hAnsi="Arial" w:cs="Arial"/>
          <w:lang w:eastAsia="en-US"/>
        </w:rPr>
        <w:br/>
      </w:r>
      <w:proofErr w:type="spellStart"/>
      <w:r w:rsidRPr="00021115">
        <w:rPr>
          <w:rFonts w:ascii="Arial" w:eastAsiaTheme="minorHAnsi" w:hAnsi="Arial" w:cs="Arial"/>
          <w:lang w:eastAsia="en-US"/>
        </w:rPr>
        <w:t>Maressa</w:t>
      </w:r>
      <w:proofErr w:type="spellEnd"/>
      <w:r w:rsidRPr="00021115">
        <w:rPr>
          <w:rFonts w:ascii="Arial" w:eastAsiaTheme="minorHAnsi" w:hAnsi="Arial" w:cs="Arial"/>
          <w:lang w:eastAsia="en-US"/>
        </w:rPr>
        <w:t xml:space="preserve"> de Carvalho Fragoso</w:t>
      </w:r>
      <w:r w:rsidRPr="00021115">
        <w:rPr>
          <w:rFonts w:ascii="Arial" w:eastAsiaTheme="minorHAnsi" w:hAnsi="Arial" w:cs="Arial"/>
          <w:lang w:eastAsia="en-US"/>
        </w:rPr>
        <w:br/>
        <w:t xml:space="preserve">Mariana Rocha Von </w:t>
      </w:r>
      <w:proofErr w:type="spellStart"/>
      <w:r w:rsidRPr="00021115">
        <w:rPr>
          <w:rFonts w:ascii="Arial" w:eastAsiaTheme="minorHAnsi" w:hAnsi="Arial" w:cs="Arial"/>
          <w:lang w:eastAsia="en-US"/>
        </w:rPr>
        <w:t>Rondow</w:t>
      </w:r>
      <w:proofErr w:type="spellEnd"/>
      <w:r w:rsidRPr="00021115">
        <w:rPr>
          <w:rFonts w:ascii="Arial" w:eastAsiaTheme="minorHAnsi" w:hAnsi="Arial" w:cs="Arial"/>
          <w:lang w:eastAsia="en-US"/>
        </w:rPr>
        <w:t xml:space="preserve"> </w:t>
      </w:r>
      <w:proofErr w:type="spellStart"/>
      <w:r w:rsidRPr="00021115">
        <w:rPr>
          <w:rFonts w:ascii="Arial" w:eastAsiaTheme="minorHAnsi" w:hAnsi="Arial" w:cs="Arial"/>
          <w:lang w:eastAsia="en-US"/>
        </w:rPr>
        <w:t>Simmer</w:t>
      </w:r>
      <w:proofErr w:type="spellEnd"/>
    </w:p>
    <w:p w14:paraId="777E0C8D" w14:textId="77777777" w:rsidR="000C2BE9" w:rsidRDefault="000C2BE9" w:rsidP="000C2BE9">
      <w:pPr>
        <w:pStyle w:val="font8"/>
        <w:spacing w:before="0" w:beforeAutospacing="0" w:after="0" w:afterAutospacing="0" w:line="336" w:lineRule="atLeast"/>
        <w:textAlignment w:val="baseline"/>
        <w:rPr>
          <w:rFonts w:ascii="Arial" w:eastAsiaTheme="minorHAnsi" w:hAnsi="Arial" w:cs="Arial"/>
          <w:lang w:eastAsia="en-US"/>
        </w:rPr>
      </w:pPr>
    </w:p>
    <w:p w14:paraId="37F9A0D3" w14:textId="3C06A87B" w:rsidR="00021115" w:rsidRPr="000C2BE9" w:rsidRDefault="00021115" w:rsidP="000C2BE9">
      <w:pPr>
        <w:pStyle w:val="font8"/>
        <w:spacing w:before="0" w:beforeAutospacing="0" w:after="0" w:afterAutospacing="0" w:line="336" w:lineRule="atLeast"/>
        <w:textAlignment w:val="baseline"/>
        <w:rPr>
          <w:rFonts w:ascii="Arial" w:eastAsiaTheme="minorHAnsi" w:hAnsi="Arial" w:cs="Arial"/>
          <w:lang w:eastAsia="en-US"/>
        </w:rPr>
      </w:pPr>
      <w:r w:rsidRPr="00021115">
        <w:rPr>
          <w:rFonts w:ascii="Arial" w:eastAsiaTheme="minorHAnsi" w:hAnsi="Arial" w:cs="Arial"/>
          <w:b/>
          <w:bCs/>
          <w:lang w:eastAsia="en-US"/>
        </w:rPr>
        <w:t>Comissão científica</w:t>
      </w:r>
    </w:p>
    <w:p w14:paraId="0BD97981" w14:textId="63F66AC0" w:rsidR="00021115" w:rsidRPr="00021115" w:rsidRDefault="00021115" w:rsidP="00021115">
      <w:pPr>
        <w:pStyle w:val="font8"/>
        <w:spacing w:before="0" w:beforeAutospacing="0" w:after="0" w:afterAutospacing="0" w:line="336" w:lineRule="atLeast"/>
        <w:textAlignment w:val="baseline"/>
        <w:rPr>
          <w:rFonts w:ascii="Arial" w:eastAsiaTheme="minorHAnsi" w:hAnsi="Arial" w:cs="Arial"/>
          <w:lang w:eastAsia="en-US"/>
        </w:rPr>
        <w:sectPr w:rsidR="00021115" w:rsidRPr="00021115" w:rsidSect="00021115">
          <w:type w:val="continuous"/>
          <w:pgSz w:w="11906" w:h="16838"/>
          <w:pgMar w:top="1417" w:right="1701" w:bottom="1417" w:left="1701" w:header="708" w:footer="708" w:gutter="0"/>
          <w:cols w:num="2" w:space="708"/>
          <w:docGrid w:linePitch="360"/>
        </w:sectPr>
      </w:pPr>
      <w:r w:rsidRPr="00021115">
        <w:rPr>
          <w:rFonts w:ascii="Arial" w:eastAsiaTheme="minorHAnsi" w:hAnsi="Arial" w:cs="Arial"/>
          <w:lang w:eastAsia="en-US"/>
        </w:rPr>
        <w:t xml:space="preserve">Ana Cláudia </w:t>
      </w:r>
      <w:proofErr w:type="spellStart"/>
      <w:r w:rsidRPr="00021115">
        <w:rPr>
          <w:rFonts w:ascii="Arial" w:eastAsiaTheme="minorHAnsi" w:hAnsi="Arial" w:cs="Arial"/>
          <w:lang w:eastAsia="en-US"/>
        </w:rPr>
        <w:t>Hertel</w:t>
      </w:r>
      <w:proofErr w:type="spellEnd"/>
      <w:r w:rsidRPr="00021115">
        <w:rPr>
          <w:rFonts w:ascii="Arial" w:eastAsiaTheme="minorHAnsi" w:hAnsi="Arial" w:cs="Arial"/>
          <w:lang w:eastAsia="en-US"/>
        </w:rPr>
        <w:t xml:space="preserve"> Pereira</w:t>
      </w:r>
      <w:r w:rsidRPr="00021115">
        <w:rPr>
          <w:rFonts w:ascii="Arial" w:eastAsiaTheme="minorHAnsi" w:hAnsi="Arial" w:cs="Arial"/>
          <w:lang w:eastAsia="en-US"/>
        </w:rPr>
        <w:br/>
        <w:t xml:space="preserve">Antônio Domingos de Souza Júnior </w:t>
      </w:r>
      <w:r w:rsidRPr="00021115">
        <w:rPr>
          <w:rFonts w:ascii="Arial" w:eastAsiaTheme="minorHAnsi" w:hAnsi="Arial" w:cs="Arial"/>
          <w:lang w:eastAsia="en-US"/>
        </w:rPr>
        <w:br/>
        <w:t xml:space="preserve">Larissa </w:t>
      </w:r>
      <w:proofErr w:type="spellStart"/>
      <w:r w:rsidRPr="00021115">
        <w:rPr>
          <w:rFonts w:ascii="Arial" w:eastAsiaTheme="minorHAnsi" w:hAnsi="Arial" w:cs="Arial"/>
          <w:lang w:eastAsia="en-US"/>
        </w:rPr>
        <w:t>Zambom</w:t>
      </w:r>
      <w:proofErr w:type="spellEnd"/>
      <w:r w:rsidRPr="00021115">
        <w:rPr>
          <w:rFonts w:ascii="Arial" w:eastAsiaTheme="minorHAnsi" w:hAnsi="Arial" w:cs="Arial"/>
          <w:lang w:eastAsia="en-US"/>
        </w:rPr>
        <w:t xml:space="preserve"> Coco</w:t>
      </w:r>
      <w:r w:rsidRPr="00021115">
        <w:rPr>
          <w:rFonts w:ascii="Arial" w:eastAsiaTheme="minorHAnsi" w:hAnsi="Arial" w:cs="Arial"/>
          <w:lang w:eastAsia="en-US"/>
        </w:rPr>
        <w:br/>
      </w:r>
      <w:proofErr w:type="spellStart"/>
      <w:r w:rsidRPr="00021115">
        <w:rPr>
          <w:rFonts w:ascii="Arial" w:eastAsiaTheme="minorHAnsi" w:hAnsi="Arial" w:cs="Arial"/>
          <w:lang w:eastAsia="en-US"/>
        </w:rPr>
        <w:t>Kariane</w:t>
      </w:r>
      <w:proofErr w:type="spellEnd"/>
      <w:r w:rsidRPr="00021115">
        <w:rPr>
          <w:rFonts w:ascii="Arial" w:eastAsiaTheme="minorHAnsi" w:hAnsi="Arial" w:cs="Arial"/>
          <w:lang w:eastAsia="en-US"/>
        </w:rPr>
        <w:t xml:space="preserve"> Rodrigues de Sousa </w:t>
      </w:r>
      <w:r w:rsidRPr="00021115">
        <w:rPr>
          <w:rFonts w:ascii="Arial" w:eastAsiaTheme="minorHAnsi" w:hAnsi="Arial" w:cs="Arial"/>
          <w:lang w:eastAsia="en-US"/>
        </w:rPr>
        <w:br/>
        <w:t>Tamires Cruz dos Santos</w:t>
      </w:r>
      <w:r w:rsidRPr="00021115">
        <w:rPr>
          <w:rFonts w:ascii="Arial" w:eastAsiaTheme="minorHAnsi" w:hAnsi="Arial" w:cs="Arial"/>
          <w:lang w:eastAsia="en-US"/>
        </w:rPr>
        <w:br/>
      </w:r>
      <w:proofErr w:type="spellStart"/>
      <w:r w:rsidRPr="00021115">
        <w:rPr>
          <w:rFonts w:ascii="Arial" w:eastAsiaTheme="minorHAnsi" w:hAnsi="Arial" w:cs="Arial"/>
          <w:lang w:eastAsia="en-US"/>
        </w:rPr>
        <w:t>Yrexam</w:t>
      </w:r>
      <w:proofErr w:type="spellEnd"/>
      <w:r w:rsidRPr="00021115">
        <w:rPr>
          <w:rFonts w:ascii="Arial" w:eastAsiaTheme="minorHAnsi" w:hAnsi="Arial" w:cs="Arial"/>
          <w:lang w:eastAsia="en-US"/>
        </w:rPr>
        <w:t xml:space="preserve"> Rodrigues de Souza Ribeiro </w:t>
      </w:r>
    </w:p>
    <w:p w14:paraId="38620ACB" w14:textId="77777777" w:rsidR="006007D5" w:rsidRPr="00021115" w:rsidRDefault="006007D5" w:rsidP="00021115">
      <w:pPr>
        <w:rPr>
          <w:rFonts w:ascii="Arial" w:hAnsi="Arial" w:cs="Arial"/>
          <w:sz w:val="24"/>
          <w:szCs w:val="24"/>
        </w:rPr>
      </w:pPr>
    </w:p>
    <w:p w14:paraId="7B9680A8" w14:textId="77777777" w:rsidR="00021115" w:rsidRDefault="00021115" w:rsidP="009C10C5">
      <w:pPr>
        <w:jc w:val="both"/>
        <w:rPr>
          <w:rFonts w:ascii="Arial" w:hAnsi="Arial" w:cs="Arial"/>
          <w:sz w:val="30"/>
          <w:szCs w:val="30"/>
        </w:rPr>
      </w:pPr>
    </w:p>
    <w:p w14:paraId="58403C1A" w14:textId="30B3EED6" w:rsidR="00A01489" w:rsidRDefault="00A01489" w:rsidP="009C10C5">
      <w:pPr>
        <w:rPr>
          <w:rFonts w:ascii="Arial" w:hAnsi="Arial" w:cs="Arial"/>
          <w:sz w:val="30"/>
          <w:szCs w:val="30"/>
          <w:lang w:val="en-US"/>
        </w:rPr>
      </w:pPr>
    </w:p>
    <w:p w14:paraId="59FB4F22" w14:textId="77777777" w:rsidR="006D211D" w:rsidRDefault="006D211D" w:rsidP="009C10C5">
      <w:pPr>
        <w:rPr>
          <w:rFonts w:ascii="Arial" w:hAnsi="Arial" w:cs="Arial"/>
          <w:sz w:val="30"/>
          <w:szCs w:val="30"/>
          <w:lang w:val="en-US"/>
        </w:rPr>
      </w:pPr>
    </w:p>
    <w:p w14:paraId="3B03BC28" w14:textId="7A4A44D3" w:rsidR="006D211D" w:rsidRPr="006D211D" w:rsidRDefault="006D211D" w:rsidP="006D211D">
      <w:pPr>
        <w:spacing w:line="360" w:lineRule="auto"/>
        <w:jc w:val="center"/>
        <w:rPr>
          <w:rFonts w:ascii="Arial" w:hAnsi="Arial" w:cs="Arial"/>
          <w:b/>
          <w:bCs/>
          <w:sz w:val="36"/>
          <w:szCs w:val="36"/>
          <w:lang w:val="en-US"/>
        </w:rPr>
      </w:pPr>
      <w:proofErr w:type="spellStart"/>
      <w:r w:rsidRPr="006D211D">
        <w:rPr>
          <w:rFonts w:ascii="Arial" w:hAnsi="Arial" w:cs="Arial"/>
          <w:b/>
          <w:bCs/>
          <w:sz w:val="36"/>
          <w:szCs w:val="36"/>
          <w:lang w:val="en-US"/>
        </w:rPr>
        <w:lastRenderedPageBreak/>
        <w:t>Sumário</w:t>
      </w:r>
      <w:proofErr w:type="spellEnd"/>
    </w:p>
    <w:sdt>
      <w:sdtPr>
        <w:rPr>
          <w:rFonts w:ascii="Arial" w:eastAsiaTheme="minorHAnsi" w:hAnsi="Arial" w:cs="Arial"/>
          <w:color w:val="auto"/>
          <w:sz w:val="24"/>
          <w:szCs w:val="24"/>
          <w:lang w:eastAsia="en-US"/>
        </w:rPr>
        <w:id w:val="-1981912750"/>
        <w:docPartObj>
          <w:docPartGallery w:val="Table of Contents"/>
          <w:docPartUnique/>
        </w:docPartObj>
      </w:sdtPr>
      <w:sdtEndPr>
        <w:rPr>
          <w:rFonts w:asciiTheme="minorHAnsi" w:hAnsiTheme="minorHAnsi" w:cstheme="minorBidi"/>
          <w:b/>
          <w:bCs/>
          <w:sz w:val="22"/>
          <w:szCs w:val="22"/>
        </w:rPr>
      </w:sdtEndPr>
      <w:sdtContent>
        <w:p w14:paraId="5935DE13" w14:textId="64EC30E4" w:rsidR="006D211D" w:rsidRPr="006D211D" w:rsidRDefault="006D211D" w:rsidP="006D211D">
          <w:pPr>
            <w:pStyle w:val="CabealhodoSumrio"/>
            <w:spacing w:line="360" w:lineRule="auto"/>
            <w:rPr>
              <w:rFonts w:ascii="Arial" w:hAnsi="Arial" w:cs="Arial"/>
              <w:sz w:val="24"/>
              <w:szCs w:val="24"/>
            </w:rPr>
          </w:pPr>
        </w:p>
        <w:p w14:paraId="6F33E084" w14:textId="355B6A07"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r w:rsidRPr="006D211D">
            <w:rPr>
              <w:rFonts w:ascii="Arial" w:hAnsi="Arial" w:cs="Arial"/>
              <w:sz w:val="24"/>
              <w:szCs w:val="24"/>
            </w:rPr>
            <w:fldChar w:fldCharType="begin"/>
          </w:r>
          <w:r w:rsidRPr="006D211D">
            <w:rPr>
              <w:rFonts w:ascii="Arial" w:hAnsi="Arial" w:cs="Arial"/>
              <w:sz w:val="24"/>
              <w:szCs w:val="24"/>
            </w:rPr>
            <w:instrText xml:space="preserve"> TOC \o "1-3" \h \z \u </w:instrText>
          </w:r>
          <w:r w:rsidRPr="006D211D">
            <w:rPr>
              <w:rFonts w:ascii="Arial" w:hAnsi="Arial" w:cs="Arial"/>
              <w:sz w:val="24"/>
              <w:szCs w:val="24"/>
            </w:rPr>
            <w:fldChar w:fldCharType="separate"/>
          </w:r>
          <w:hyperlink w:anchor="_Toc211954558" w:history="1">
            <w:r w:rsidRPr="006D211D">
              <w:rPr>
                <w:rStyle w:val="Hyperlink"/>
                <w:rFonts w:ascii="Arial" w:eastAsia="MS Gothic" w:hAnsi="Arial" w:cs="Arial"/>
                <w:b/>
                <w:bCs/>
                <w:noProof/>
                <w:sz w:val="24"/>
                <w:szCs w:val="24"/>
              </w:rPr>
              <w:t>Apresentação</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_Toc211954558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6</w:t>
            </w:r>
            <w:r w:rsidRPr="006D211D">
              <w:rPr>
                <w:rFonts w:ascii="Arial" w:hAnsi="Arial" w:cs="Arial"/>
                <w:noProof/>
                <w:webHidden/>
                <w:sz w:val="24"/>
                <w:szCs w:val="24"/>
              </w:rPr>
              <w:fldChar w:fldCharType="end"/>
            </w:r>
          </w:hyperlink>
        </w:p>
        <w:p w14:paraId="34391978" w14:textId="733B1879"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59" w:history="1">
            <w:r w:rsidRPr="006D211D">
              <w:rPr>
                <w:rStyle w:val="Hyperlink"/>
                <w:rFonts w:ascii="Arial" w:hAnsi="Arial" w:cs="Arial"/>
                <w:b/>
                <w:bCs/>
                <w:noProof/>
                <w:sz w:val="24"/>
                <w:szCs w:val="24"/>
              </w:rPr>
              <w:t>Evaluation of the Impact of Liraglutide on the Intestinal Ultrastructure of Ldlr</w:t>
            </w:r>
            <w:r w:rsidRPr="006D211D">
              <w:rPr>
                <w:rStyle w:val="Hyperlink"/>
                <w:rFonts w:ascii="Cambria Math" w:hAnsi="Cambria Math" w:cs="Cambria Math"/>
                <w:b/>
                <w:bCs/>
                <w:noProof/>
                <w:sz w:val="24"/>
                <w:szCs w:val="24"/>
              </w:rPr>
              <w:t>⁻</w:t>
            </w:r>
            <w:r w:rsidRPr="006D211D">
              <w:rPr>
                <w:rStyle w:val="Hyperlink"/>
                <w:rFonts w:ascii="Arial" w:hAnsi="Arial" w:cs="Arial"/>
                <w:b/>
                <w:bCs/>
                <w:noProof/>
                <w:sz w:val="24"/>
                <w:szCs w:val="24"/>
              </w:rPr>
              <w:t>/</w:t>
            </w:r>
            <w:r w:rsidRPr="006D211D">
              <w:rPr>
                <w:rStyle w:val="Hyperlink"/>
                <w:rFonts w:ascii="Cambria Math" w:hAnsi="Cambria Math" w:cs="Cambria Math"/>
                <w:b/>
                <w:bCs/>
                <w:noProof/>
                <w:sz w:val="24"/>
                <w:szCs w:val="24"/>
              </w:rPr>
              <w:t>⁻</w:t>
            </w:r>
            <w:r w:rsidRPr="006D211D">
              <w:rPr>
                <w:rStyle w:val="Hyperlink"/>
                <w:rFonts w:ascii="Arial" w:hAnsi="Arial" w:cs="Arial"/>
                <w:b/>
                <w:bCs/>
                <w:noProof/>
                <w:sz w:val="24"/>
                <w:szCs w:val="24"/>
              </w:rPr>
              <w:t xml:space="preserve"> Mice Subjected to a Hypercaloric Diet</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_Toc211954559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8</w:t>
            </w:r>
            <w:r w:rsidRPr="006D211D">
              <w:rPr>
                <w:rFonts w:ascii="Arial" w:hAnsi="Arial" w:cs="Arial"/>
                <w:noProof/>
                <w:webHidden/>
                <w:sz w:val="24"/>
                <w:szCs w:val="24"/>
              </w:rPr>
              <w:fldChar w:fldCharType="end"/>
            </w:r>
          </w:hyperlink>
        </w:p>
        <w:p w14:paraId="0D92F1A1" w14:textId="17AE7B82"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0" w:history="1">
            <w:r w:rsidRPr="006D211D">
              <w:rPr>
                <w:rStyle w:val="Hyperlink"/>
                <w:rFonts w:ascii="Arial" w:eastAsia="Times New Roman" w:hAnsi="Arial" w:cs="Arial"/>
                <w:b/>
                <w:bCs/>
                <w:noProof/>
                <w:sz w:val="24"/>
                <w:szCs w:val="24"/>
                <w:lang w:val="en-US"/>
              </w:rPr>
              <w:t>Exploring the Relationship Between Physical Parameters and Biomarkers in Elite Brazilian Beach Volleyball Athletes</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_Toc211954560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9</w:t>
            </w:r>
            <w:r w:rsidRPr="006D211D">
              <w:rPr>
                <w:rFonts w:ascii="Arial" w:hAnsi="Arial" w:cs="Arial"/>
                <w:noProof/>
                <w:webHidden/>
                <w:sz w:val="24"/>
                <w:szCs w:val="24"/>
              </w:rPr>
              <w:fldChar w:fldCharType="end"/>
            </w:r>
          </w:hyperlink>
        </w:p>
        <w:p w14:paraId="594C6994" w14:textId="6B462AE1"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1" w:history="1">
            <w:r w:rsidRPr="006D211D">
              <w:rPr>
                <w:rStyle w:val="Hyperlink"/>
                <w:rFonts w:ascii="Arial" w:eastAsia="Times New Roman" w:hAnsi="Arial" w:cs="Arial"/>
                <w:b/>
                <w:bCs/>
                <w:noProof/>
                <w:sz w:val="24"/>
                <w:szCs w:val="24"/>
                <w:lang w:val="en-US"/>
              </w:rPr>
              <w:t>Probiotics as Antioxidant Adjuvants in the Treatment of Gastroesophageal Reflux Disease</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_Toc211954561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10</w:t>
            </w:r>
            <w:r w:rsidRPr="006D211D">
              <w:rPr>
                <w:rFonts w:ascii="Arial" w:hAnsi="Arial" w:cs="Arial"/>
                <w:noProof/>
                <w:webHidden/>
                <w:sz w:val="24"/>
                <w:szCs w:val="24"/>
              </w:rPr>
              <w:fldChar w:fldCharType="end"/>
            </w:r>
          </w:hyperlink>
        </w:p>
        <w:p w14:paraId="637B4687" w14:textId="43C06E83"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2" w:history="1">
            <w:r w:rsidRPr="006D211D">
              <w:rPr>
                <w:rStyle w:val="Hyperlink"/>
                <w:rFonts w:ascii="Arial" w:eastAsia="Times New Roman" w:hAnsi="Arial" w:cs="Arial"/>
                <w:b/>
                <w:bCs/>
                <w:noProof/>
                <w:sz w:val="24"/>
                <w:szCs w:val="24"/>
                <w:lang w:val="en-US"/>
              </w:rPr>
              <w:t>Optimization of Jabuticaba (</w:t>
            </w:r>
            <w:r w:rsidRPr="006D211D">
              <w:rPr>
                <w:rStyle w:val="Hyperlink"/>
                <w:rFonts w:ascii="Arial" w:eastAsia="Times New Roman" w:hAnsi="Arial" w:cs="Arial"/>
                <w:b/>
                <w:bCs/>
                <w:i/>
                <w:iCs/>
                <w:noProof/>
                <w:sz w:val="24"/>
                <w:szCs w:val="24"/>
                <w:lang w:val="en-US"/>
              </w:rPr>
              <w:t>Plinia cauliflora</w:t>
            </w:r>
            <w:r w:rsidRPr="006D211D">
              <w:rPr>
                <w:rStyle w:val="Hyperlink"/>
                <w:rFonts w:ascii="Arial" w:eastAsia="Times New Roman" w:hAnsi="Arial" w:cs="Arial"/>
                <w:b/>
                <w:bCs/>
                <w:noProof/>
                <w:sz w:val="24"/>
                <w:szCs w:val="24"/>
                <w:lang w:val="en-US"/>
              </w:rPr>
              <w:t>) Peel Extract: Bioactive Profile and Antioxidant Activity for Melasma Application</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_Toc211954562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11</w:t>
            </w:r>
            <w:r w:rsidRPr="006D211D">
              <w:rPr>
                <w:rFonts w:ascii="Arial" w:hAnsi="Arial" w:cs="Arial"/>
                <w:noProof/>
                <w:webHidden/>
                <w:sz w:val="24"/>
                <w:szCs w:val="24"/>
              </w:rPr>
              <w:fldChar w:fldCharType="end"/>
            </w:r>
          </w:hyperlink>
        </w:p>
        <w:p w14:paraId="0B4D9B3D" w14:textId="1E24D2E0"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3" w:history="1">
            <w:r w:rsidRPr="006D211D">
              <w:rPr>
                <w:rStyle w:val="Hyperlink"/>
                <w:rFonts w:ascii="Arial" w:eastAsia="Times New Roman" w:hAnsi="Arial" w:cs="Arial"/>
                <w:b/>
                <w:bCs/>
                <w:noProof/>
                <w:sz w:val="24"/>
                <w:szCs w:val="24"/>
                <w:lang w:val="en-US"/>
              </w:rPr>
              <w:t xml:space="preserve">Development and </w:t>
            </w:r>
            <w:r w:rsidRPr="006D211D">
              <w:rPr>
                <w:rStyle w:val="Hyperlink"/>
                <w:rFonts w:ascii="Arial" w:eastAsia="Times New Roman" w:hAnsi="Arial" w:cs="Arial"/>
                <w:b/>
                <w:bCs/>
                <w:i/>
                <w:iCs/>
                <w:noProof/>
                <w:sz w:val="24"/>
                <w:szCs w:val="24"/>
                <w:lang w:val="en-US"/>
              </w:rPr>
              <w:t xml:space="preserve">In Vitro </w:t>
            </w:r>
            <w:r w:rsidRPr="006D211D">
              <w:rPr>
                <w:rStyle w:val="Hyperlink"/>
                <w:rFonts w:ascii="Arial" w:eastAsia="Times New Roman" w:hAnsi="Arial" w:cs="Arial"/>
                <w:b/>
                <w:bCs/>
                <w:noProof/>
                <w:sz w:val="24"/>
                <w:szCs w:val="24"/>
                <w:lang w:val="en-US"/>
              </w:rPr>
              <w:t xml:space="preserve">Evaluation of an Ointment Containing Ethanolic Extract of </w:t>
            </w:r>
            <w:r w:rsidRPr="006D211D">
              <w:rPr>
                <w:rStyle w:val="Hyperlink"/>
                <w:rFonts w:ascii="Arial" w:eastAsia="Times New Roman" w:hAnsi="Arial" w:cs="Arial"/>
                <w:b/>
                <w:bCs/>
                <w:i/>
                <w:iCs/>
                <w:noProof/>
                <w:sz w:val="24"/>
                <w:szCs w:val="24"/>
                <w:lang w:val="en-US"/>
              </w:rPr>
              <w:t>Lecythis pisonis</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_Toc211954563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12</w:t>
            </w:r>
            <w:r w:rsidRPr="006D211D">
              <w:rPr>
                <w:rFonts w:ascii="Arial" w:hAnsi="Arial" w:cs="Arial"/>
                <w:noProof/>
                <w:webHidden/>
                <w:sz w:val="24"/>
                <w:szCs w:val="24"/>
              </w:rPr>
              <w:fldChar w:fldCharType="end"/>
            </w:r>
          </w:hyperlink>
        </w:p>
        <w:p w14:paraId="3B491FBE" w14:textId="64262EEA"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4" w:history="1">
            <w:r w:rsidRPr="006D211D">
              <w:rPr>
                <w:rStyle w:val="Hyperlink"/>
                <w:rFonts w:ascii="Arial" w:eastAsia="Times New Roman" w:hAnsi="Arial" w:cs="Arial"/>
                <w:b/>
                <w:bCs/>
                <w:noProof/>
                <w:sz w:val="24"/>
                <w:szCs w:val="24"/>
                <w:lang w:val="en-US"/>
              </w:rPr>
              <w:t xml:space="preserve">Preparation of a </w:t>
            </w:r>
            <w:r w:rsidRPr="006D211D">
              <w:rPr>
                <w:rStyle w:val="Hyperlink"/>
                <w:rFonts w:ascii="Arial" w:eastAsia="Times New Roman" w:hAnsi="Arial" w:cs="Arial"/>
                <w:b/>
                <w:bCs/>
                <w:i/>
                <w:iCs/>
                <w:noProof/>
                <w:sz w:val="24"/>
                <w:szCs w:val="24"/>
                <w:lang w:val="en-US"/>
              </w:rPr>
              <w:t>Priestia</w:t>
            </w:r>
            <w:r w:rsidRPr="006D211D">
              <w:rPr>
                <w:rStyle w:val="Hyperlink"/>
                <w:rFonts w:ascii="Arial" w:eastAsia="Times New Roman" w:hAnsi="Arial" w:cs="Arial"/>
                <w:b/>
                <w:bCs/>
                <w:noProof/>
                <w:sz w:val="24"/>
                <w:szCs w:val="24"/>
                <w:lang w:val="en-US"/>
              </w:rPr>
              <w:t xml:space="preserve"> sp. Based Solid Biofertilizer Employing Coffee Husk Powder as a Carrier Agent</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_Toc211954564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13</w:t>
            </w:r>
            <w:r w:rsidRPr="006D211D">
              <w:rPr>
                <w:rFonts w:ascii="Arial" w:hAnsi="Arial" w:cs="Arial"/>
                <w:noProof/>
                <w:webHidden/>
                <w:sz w:val="24"/>
                <w:szCs w:val="24"/>
              </w:rPr>
              <w:fldChar w:fldCharType="end"/>
            </w:r>
          </w:hyperlink>
        </w:p>
        <w:p w14:paraId="7F5398C8" w14:textId="3CF96E3A"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5" w:history="1">
            <w:r w:rsidRPr="006D211D">
              <w:rPr>
                <w:rStyle w:val="Hyperlink"/>
                <w:rFonts w:ascii="Arial" w:eastAsia="Times New Roman" w:hAnsi="Arial" w:cs="Arial"/>
                <w:b/>
                <w:bCs/>
                <w:i/>
                <w:iCs/>
                <w:noProof/>
                <w:sz w:val="24"/>
                <w:szCs w:val="24"/>
                <w:lang w:val="en-US"/>
              </w:rPr>
              <w:t>Matricaria chamomilla</w:t>
            </w:r>
            <w:r w:rsidRPr="006D211D">
              <w:rPr>
                <w:rStyle w:val="Hyperlink"/>
                <w:rFonts w:ascii="Arial" w:eastAsia="Times New Roman" w:hAnsi="Arial" w:cs="Arial"/>
                <w:b/>
                <w:bCs/>
                <w:noProof/>
                <w:sz w:val="24"/>
                <w:szCs w:val="24"/>
                <w:lang w:val="en-US"/>
              </w:rPr>
              <w:t xml:space="preserve"> L. Extract Improves Longevity, Reduces Stress, and Preserves Feeding Function in an Alzheimer’s Model</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_Toc211954565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14</w:t>
            </w:r>
            <w:r w:rsidRPr="006D211D">
              <w:rPr>
                <w:rFonts w:ascii="Arial" w:hAnsi="Arial" w:cs="Arial"/>
                <w:noProof/>
                <w:webHidden/>
                <w:sz w:val="24"/>
                <w:szCs w:val="24"/>
              </w:rPr>
              <w:fldChar w:fldCharType="end"/>
            </w:r>
          </w:hyperlink>
        </w:p>
        <w:p w14:paraId="45192BEA" w14:textId="3D32F4D1"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6" w:history="1">
            <w:r w:rsidRPr="006D211D">
              <w:rPr>
                <w:rStyle w:val="Hyperlink"/>
                <w:rFonts w:ascii="Arial" w:eastAsia="Times New Roman" w:hAnsi="Arial" w:cs="Arial"/>
                <w:b/>
                <w:bCs/>
                <w:noProof/>
                <w:sz w:val="24"/>
                <w:szCs w:val="24"/>
                <w:lang w:val="en-US"/>
              </w:rPr>
              <w:t>Effect of Milk Kefir Treatment on DSS-Induced Ulcerative Colitis: Exploring its Mechanisms of Action</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_Toc211954566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15</w:t>
            </w:r>
            <w:r w:rsidRPr="006D211D">
              <w:rPr>
                <w:rFonts w:ascii="Arial" w:hAnsi="Arial" w:cs="Arial"/>
                <w:noProof/>
                <w:webHidden/>
                <w:sz w:val="24"/>
                <w:szCs w:val="24"/>
              </w:rPr>
              <w:fldChar w:fldCharType="end"/>
            </w:r>
          </w:hyperlink>
        </w:p>
        <w:p w14:paraId="71B68234" w14:textId="3E58F3E9"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7" w:history="1">
            <w:r w:rsidRPr="006D211D">
              <w:rPr>
                <w:rStyle w:val="Hyperlink"/>
                <w:rFonts w:ascii="Arial" w:hAnsi="Arial" w:cs="Arial"/>
                <w:b/>
                <w:bCs/>
                <w:noProof/>
                <w:sz w:val="24"/>
                <w:szCs w:val="24"/>
                <w:lang w:val="en-US"/>
              </w:rPr>
              <w:t>Effect of Milk Kefir Administration in an Experimental Model of Intestinal Mucositis Induced By 5-Fluorouracil (5-FU)</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_Toc211954567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16</w:t>
            </w:r>
            <w:r w:rsidRPr="006D211D">
              <w:rPr>
                <w:rFonts w:ascii="Arial" w:hAnsi="Arial" w:cs="Arial"/>
                <w:noProof/>
                <w:webHidden/>
                <w:sz w:val="24"/>
                <w:szCs w:val="24"/>
              </w:rPr>
              <w:fldChar w:fldCharType="end"/>
            </w:r>
          </w:hyperlink>
        </w:p>
        <w:p w14:paraId="01ADE8B3" w14:textId="0095914A"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8" w:history="1">
            <w:r w:rsidRPr="006D211D">
              <w:rPr>
                <w:rStyle w:val="Hyperlink"/>
                <w:rFonts w:ascii="Arial" w:eastAsia="Times New Roman" w:hAnsi="Arial" w:cs="Arial"/>
                <w:b/>
                <w:bCs/>
                <w:noProof/>
                <w:sz w:val="24"/>
                <w:szCs w:val="24"/>
                <w:lang w:val="en-US"/>
              </w:rPr>
              <w:t xml:space="preserve">Hepatoprotective and Antioxidant Effects of </w:t>
            </w:r>
            <w:r w:rsidRPr="006D211D">
              <w:rPr>
                <w:rStyle w:val="Hyperlink"/>
                <w:rFonts w:ascii="Arial" w:eastAsia="Times New Roman" w:hAnsi="Arial" w:cs="Arial"/>
                <w:b/>
                <w:bCs/>
                <w:i/>
                <w:iCs/>
                <w:noProof/>
                <w:sz w:val="24"/>
                <w:szCs w:val="24"/>
                <w:lang w:val="en-US"/>
              </w:rPr>
              <w:t>Pereskia Aculeata</w:t>
            </w:r>
            <w:r w:rsidRPr="006D211D">
              <w:rPr>
                <w:rStyle w:val="Hyperlink"/>
                <w:rFonts w:ascii="Arial" w:eastAsia="Times New Roman" w:hAnsi="Arial" w:cs="Arial"/>
                <w:b/>
                <w:bCs/>
                <w:noProof/>
                <w:sz w:val="24"/>
                <w:szCs w:val="24"/>
                <w:lang w:val="en-US"/>
              </w:rPr>
              <w:t xml:space="preserve"> Miller (Ora-Pro-Nóbis) Against Acetaminophen-Induced Liver Injury in Mice</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_Toc211954568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17</w:t>
            </w:r>
            <w:r w:rsidRPr="006D211D">
              <w:rPr>
                <w:rFonts w:ascii="Arial" w:hAnsi="Arial" w:cs="Arial"/>
                <w:noProof/>
                <w:webHidden/>
                <w:sz w:val="24"/>
                <w:szCs w:val="24"/>
              </w:rPr>
              <w:fldChar w:fldCharType="end"/>
            </w:r>
          </w:hyperlink>
        </w:p>
        <w:p w14:paraId="07C4CC69" w14:textId="0B4DD510"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69" w:history="1">
            <w:r w:rsidRPr="006D211D">
              <w:rPr>
                <w:rStyle w:val="Hyperlink"/>
                <w:rFonts w:ascii="Arial" w:hAnsi="Arial" w:cs="Arial"/>
                <w:b/>
                <w:bCs/>
                <w:noProof/>
                <w:sz w:val="24"/>
                <w:szCs w:val="24"/>
                <w:lang w:val="en-US"/>
              </w:rPr>
              <w:t xml:space="preserve">Development and Standardization of an Experimental Nephropathy Model Using Nonsteroidal Anti-Inflammatory </w:t>
            </w:r>
            <w:r w:rsidRPr="006D211D">
              <w:rPr>
                <w:rStyle w:val="Hyperlink"/>
                <w:rFonts w:ascii="Arial" w:hAnsi="Arial" w:cs="Arial"/>
                <w:b/>
                <w:bCs/>
                <w:noProof/>
                <w:sz w:val="24"/>
                <w:szCs w:val="24"/>
              </w:rPr>
              <w:t>Drugs</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_Toc211954569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18</w:t>
            </w:r>
            <w:r w:rsidRPr="006D211D">
              <w:rPr>
                <w:rFonts w:ascii="Arial" w:hAnsi="Arial" w:cs="Arial"/>
                <w:noProof/>
                <w:webHidden/>
                <w:sz w:val="24"/>
                <w:szCs w:val="24"/>
              </w:rPr>
              <w:fldChar w:fldCharType="end"/>
            </w:r>
          </w:hyperlink>
        </w:p>
        <w:p w14:paraId="23E28029" w14:textId="711E002D"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70" w:history="1">
            <w:r w:rsidRPr="006D211D">
              <w:rPr>
                <w:rStyle w:val="Hyperlink"/>
                <w:rFonts w:ascii="Arial" w:eastAsia="Times New Roman" w:hAnsi="Arial" w:cs="Arial"/>
                <w:b/>
                <w:bCs/>
                <w:noProof/>
                <w:sz w:val="24"/>
                <w:szCs w:val="24"/>
                <w:lang w:val="en-US"/>
              </w:rPr>
              <w:t>Protective Effects of Milk Kefir on TNBS-Induced Experimental Ulcerative Colitis in Mice</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_Toc211954570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19</w:t>
            </w:r>
            <w:r w:rsidRPr="006D211D">
              <w:rPr>
                <w:rFonts w:ascii="Arial" w:hAnsi="Arial" w:cs="Arial"/>
                <w:noProof/>
                <w:webHidden/>
                <w:sz w:val="24"/>
                <w:szCs w:val="24"/>
              </w:rPr>
              <w:fldChar w:fldCharType="end"/>
            </w:r>
          </w:hyperlink>
        </w:p>
        <w:p w14:paraId="435B6F37" w14:textId="57158D46"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71" w:history="1">
            <w:r w:rsidRPr="006D211D">
              <w:rPr>
                <w:rStyle w:val="Hyperlink"/>
                <w:rFonts w:ascii="Arial" w:eastAsia="Times New Roman" w:hAnsi="Arial" w:cs="Arial"/>
                <w:b/>
                <w:bCs/>
                <w:noProof/>
                <w:sz w:val="24"/>
                <w:szCs w:val="24"/>
                <w:lang w:val="en-US"/>
              </w:rPr>
              <w:t xml:space="preserve">Evaluation of the Anti-Inflammatory Activities of </w:t>
            </w:r>
            <w:r w:rsidRPr="006D211D">
              <w:rPr>
                <w:rStyle w:val="Hyperlink"/>
                <w:rFonts w:ascii="Arial" w:eastAsia="Times New Roman" w:hAnsi="Arial" w:cs="Arial"/>
                <w:b/>
                <w:bCs/>
                <w:i/>
                <w:iCs/>
                <w:noProof/>
                <w:sz w:val="24"/>
                <w:szCs w:val="24"/>
                <w:lang w:val="en-US"/>
              </w:rPr>
              <w:t>Pattalus Mollis</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_Toc211954571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20</w:t>
            </w:r>
            <w:r w:rsidRPr="006D211D">
              <w:rPr>
                <w:rFonts w:ascii="Arial" w:hAnsi="Arial" w:cs="Arial"/>
                <w:noProof/>
                <w:webHidden/>
                <w:sz w:val="24"/>
                <w:szCs w:val="24"/>
              </w:rPr>
              <w:fldChar w:fldCharType="end"/>
            </w:r>
          </w:hyperlink>
        </w:p>
        <w:p w14:paraId="25C662C4" w14:textId="68D07296"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72" w:history="1">
            <w:r w:rsidRPr="006D211D">
              <w:rPr>
                <w:rStyle w:val="Hyperlink"/>
                <w:rFonts w:ascii="Arial" w:hAnsi="Arial" w:cs="Arial"/>
                <w:b/>
                <w:bCs/>
                <w:noProof/>
                <w:sz w:val="24"/>
                <w:szCs w:val="24"/>
                <w:lang w:val="en-US"/>
              </w:rPr>
              <w:t>Evaluation of the Nephroprotective Effect of Pereskia aculeata in Mice with Acute Kidney Injury</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_Toc211954572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21</w:t>
            </w:r>
            <w:r w:rsidRPr="006D211D">
              <w:rPr>
                <w:rFonts w:ascii="Arial" w:hAnsi="Arial" w:cs="Arial"/>
                <w:noProof/>
                <w:webHidden/>
                <w:sz w:val="24"/>
                <w:szCs w:val="24"/>
              </w:rPr>
              <w:fldChar w:fldCharType="end"/>
            </w:r>
          </w:hyperlink>
        </w:p>
        <w:p w14:paraId="46C7C9D3" w14:textId="74F540A2" w:rsidR="006D211D" w:rsidRPr="006D211D" w:rsidRDefault="006D211D" w:rsidP="00232212">
          <w:pPr>
            <w:pStyle w:val="Sumrio1"/>
            <w:tabs>
              <w:tab w:val="right" w:leader="dot" w:pos="8494"/>
            </w:tabs>
            <w:spacing w:line="360" w:lineRule="auto"/>
            <w:rPr>
              <w:rFonts w:ascii="Arial" w:hAnsi="Arial" w:cs="Arial"/>
              <w:noProof/>
              <w:kern w:val="2"/>
              <w:sz w:val="24"/>
              <w:szCs w:val="24"/>
              <w14:ligatures w14:val="standardContextual"/>
            </w:rPr>
          </w:pPr>
          <w:hyperlink w:anchor="_Toc211954573" w:history="1">
            <w:r w:rsidRPr="006D211D">
              <w:rPr>
                <w:rStyle w:val="Hyperlink"/>
                <w:rFonts w:ascii="Arial" w:eastAsia="Times New Roman" w:hAnsi="Arial" w:cs="Arial"/>
                <w:b/>
                <w:bCs/>
                <w:noProof/>
                <w:sz w:val="24"/>
                <w:szCs w:val="24"/>
                <w:lang w:val="en-US"/>
              </w:rPr>
              <w:t xml:space="preserve">Synergy Between </w:t>
            </w:r>
            <w:r w:rsidRPr="006D211D">
              <w:rPr>
                <w:rStyle w:val="Hyperlink"/>
                <w:rFonts w:ascii="Arial" w:eastAsia="Times New Roman" w:hAnsi="Arial" w:cs="Arial"/>
                <w:b/>
                <w:bCs/>
                <w:i/>
                <w:iCs/>
                <w:noProof/>
                <w:sz w:val="24"/>
                <w:szCs w:val="24"/>
                <w:lang w:val="en-US"/>
              </w:rPr>
              <w:t>S. Indica</w:t>
            </w:r>
            <w:r w:rsidRPr="006D211D">
              <w:rPr>
                <w:rStyle w:val="Hyperlink"/>
                <w:rFonts w:ascii="Arial" w:eastAsia="Times New Roman" w:hAnsi="Arial" w:cs="Arial"/>
                <w:b/>
                <w:bCs/>
                <w:noProof/>
                <w:sz w:val="24"/>
                <w:szCs w:val="24"/>
                <w:lang w:val="en-US"/>
              </w:rPr>
              <w:t xml:space="preserve"> and </w:t>
            </w:r>
            <w:r w:rsidRPr="006D211D">
              <w:rPr>
                <w:rStyle w:val="Hyperlink"/>
                <w:rFonts w:ascii="Arial" w:eastAsia="Times New Roman" w:hAnsi="Arial" w:cs="Arial"/>
                <w:b/>
                <w:bCs/>
                <w:i/>
                <w:iCs/>
                <w:noProof/>
                <w:sz w:val="24"/>
                <w:szCs w:val="24"/>
                <w:lang w:val="en-US"/>
              </w:rPr>
              <w:t>H. Seropedicae</w:t>
            </w:r>
            <w:r w:rsidRPr="006D211D">
              <w:rPr>
                <w:rStyle w:val="Hyperlink"/>
                <w:rFonts w:ascii="Arial" w:eastAsia="Times New Roman" w:hAnsi="Arial" w:cs="Arial"/>
                <w:b/>
                <w:bCs/>
                <w:noProof/>
                <w:sz w:val="24"/>
                <w:szCs w:val="24"/>
                <w:lang w:val="en-US"/>
              </w:rPr>
              <w:t xml:space="preserve"> in Corn Development: Impact of Formulation and Temperature on Consortium Stability</w:t>
            </w:r>
            <w:r w:rsidRPr="006D211D">
              <w:rPr>
                <w:rFonts w:ascii="Arial" w:hAnsi="Arial" w:cs="Arial"/>
                <w:noProof/>
                <w:webHidden/>
                <w:sz w:val="24"/>
                <w:szCs w:val="24"/>
              </w:rPr>
              <w:tab/>
            </w:r>
            <w:r w:rsidRPr="006D211D">
              <w:rPr>
                <w:rFonts w:ascii="Arial" w:hAnsi="Arial" w:cs="Arial"/>
                <w:noProof/>
                <w:webHidden/>
                <w:sz w:val="24"/>
                <w:szCs w:val="24"/>
              </w:rPr>
              <w:fldChar w:fldCharType="begin"/>
            </w:r>
            <w:r w:rsidRPr="006D211D">
              <w:rPr>
                <w:rFonts w:ascii="Arial" w:hAnsi="Arial" w:cs="Arial"/>
                <w:noProof/>
                <w:webHidden/>
                <w:sz w:val="24"/>
                <w:szCs w:val="24"/>
              </w:rPr>
              <w:instrText xml:space="preserve"> PAGEREF _Toc211954573 \h </w:instrText>
            </w:r>
            <w:r w:rsidRPr="006D211D">
              <w:rPr>
                <w:rFonts w:ascii="Arial" w:hAnsi="Arial" w:cs="Arial"/>
                <w:noProof/>
                <w:webHidden/>
                <w:sz w:val="24"/>
                <w:szCs w:val="24"/>
              </w:rPr>
            </w:r>
            <w:r w:rsidRPr="006D211D">
              <w:rPr>
                <w:rFonts w:ascii="Arial" w:hAnsi="Arial" w:cs="Arial"/>
                <w:noProof/>
                <w:webHidden/>
                <w:sz w:val="24"/>
                <w:szCs w:val="24"/>
              </w:rPr>
              <w:fldChar w:fldCharType="separate"/>
            </w:r>
            <w:r w:rsidRPr="006D211D">
              <w:rPr>
                <w:rFonts w:ascii="Arial" w:hAnsi="Arial" w:cs="Arial"/>
                <w:noProof/>
                <w:webHidden/>
                <w:sz w:val="24"/>
                <w:szCs w:val="24"/>
              </w:rPr>
              <w:t>22</w:t>
            </w:r>
            <w:r w:rsidRPr="006D211D">
              <w:rPr>
                <w:rFonts w:ascii="Arial" w:hAnsi="Arial" w:cs="Arial"/>
                <w:noProof/>
                <w:webHidden/>
                <w:sz w:val="24"/>
                <w:szCs w:val="24"/>
              </w:rPr>
              <w:fldChar w:fldCharType="end"/>
            </w:r>
          </w:hyperlink>
        </w:p>
        <w:p w14:paraId="5E603106" w14:textId="47630A75" w:rsidR="006D211D" w:rsidRPr="00232212" w:rsidRDefault="006D211D" w:rsidP="00232212">
          <w:pPr>
            <w:spacing w:line="360" w:lineRule="auto"/>
          </w:pPr>
          <w:r w:rsidRPr="006D211D">
            <w:rPr>
              <w:rFonts w:ascii="Arial" w:hAnsi="Arial" w:cs="Arial"/>
              <w:b/>
              <w:bCs/>
              <w:sz w:val="24"/>
              <w:szCs w:val="24"/>
            </w:rPr>
            <w:fldChar w:fldCharType="end"/>
          </w:r>
        </w:p>
      </w:sdtContent>
    </w:sdt>
    <w:p w14:paraId="7D49F62A" w14:textId="5C0583A2" w:rsidR="00C26F74" w:rsidRPr="006D211D" w:rsidRDefault="009C10C5" w:rsidP="006D211D">
      <w:pPr>
        <w:pStyle w:val="Ttulo1"/>
        <w:rPr>
          <w:rFonts w:ascii="Arial" w:hAnsi="Arial" w:cs="Arial"/>
          <w:b/>
          <w:bCs/>
          <w:color w:val="auto"/>
          <w:sz w:val="28"/>
          <w:szCs w:val="28"/>
        </w:rPr>
      </w:pPr>
      <w:bookmarkStart w:id="2" w:name="_Toc211954559"/>
      <w:proofErr w:type="spellStart"/>
      <w:r w:rsidRPr="006D211D">
        <w:rPr>
          <w:rFonts w:ascii="Arial" w:hAnsi="Arial" w:cs="Arial"/>
          <w:b/>
          <w:bCs/>
          <w:color w:val="auto"/>
          <w:sz w:val="28"/>
          <w:szCs w:val="28"/>
        </w:rPr>
        <w:lastRenderedPageBreak/>
        <w:t>Evaluation</w:t>
      </w:r>
      <w:proofErr w:type="spellEnd"/>
      <w:r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of</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the</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Impact</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of</w:t>
      </w:r>
      <w:proofErr w:type="spellEnd"/>
      <w:r w:rsidR="006251EA" w:rsidRPr="006D211D">
        <w:rPr>
          <w:rFonts w:ascii="Arial" w:hAnsi="Arial" w:cs="Arial"/>
          <w:b/>
          <w:bCs/>
          <w:color w:val="auto"/>
          <w:sz w:val="28"/>
          <w:szCs w:val="28"/>
        </w:rPr>
        <w:t xml:space="preserve"> </w:t>
      </w:r>
      <w:proofErr w:type="spellStart"/>
      <w:r w:rsidRPr="006D211D">
        <w:rPr>
          <w:rFonts w:ascii="Arial" w:hAnsi="Arial" w:cs="Arial"/>
          <w:b/>
          <w:bCs/>
          <w:color w:val="auto"/>
          <w:sz w:val="28"/>
          <w:szCs w:val="28"/>
        </w:rPr>
        <w:t>Liraglutide</w:t>
      </w:r>
      <w:proofErr w:type="spellEnd"/>
      <w:r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on</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the</w:t>
      </w:r>
      <w:proofErr w:type="spellEnd"/>
      <w:r w:rsidR="006251EA" w:rsidRPr="006D211D">
        <w:rPr>
          <w:rFonts w:ascii="Arial" w:hAnsi="Arial" w:cs="Arial"/>
          <w:b/>
          <w:bCs/>
          <w:color w:val="auto"/>
          <w:sz w:val="28"/>
          <w:szCs w:val="28"/>
        </w:rPr>
        <w:t xml:space="preserve"> Intestinal </w:t>
      </w:r>
      <w:proofErr w:type="spellStart"/>
      <w:r w:rsidR="006251EA" w:rsidRPr="006D211D">
        <w:rPr>
          <w:rFonts w:ascii="Arial" w:hAnsi="Arial" w:cs="Arial"/>
          <w:b/>
          <w:bCs/>
          <w:color w:val="auto"/>
          <w:sz w:val="28"/>
          <w:szCs w:val="28"/>
        </w:rPr>
        <w:t>Ultrastructure</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of</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Ldlr</w:t>
      </w:r>
      <w:proofErr w:type="spellEnd"/>
      <w:r w:rsidR="006251EA" w:rsidRPr="006D211D">
        <w:rPr>
          <w:rFonts w:ascii="Cambria Math" w:hAnsi="Cambria Math" w:cs="Cambria Math"/>
          <w:b/>
          <w:bCs/>
          <w:color w:val="auto"/>
          <w:sz w:val="28"/>
          <w:szCs w:val="28"/>
        </w:rPr>
        <w:t>⁻</w:t>
      </w:r>
      <w:r w:rsidR="006251EA" w:rsidRPr="006D211D">
        <w:rPr>
          <w:rFonts w:ascii="Arial" w:hAnsi="Arial" w:cs="Arial"/>
          <w:b/>
          <w:bCs/>
          <w:color w:val="auto"/>
          <w:sz w:val="28"/>
          <w:szCs w:val="28"/>
        </w:rPr>
        <w:t>/</w:t>
      </w:r>
      <w:r w:rsidR="006251EA" w:rsidRPr="006D211D">
        <w:rPr>
          <w:rFonts w:ascii="Cambria Math" w:hAnsi="Cambria Math" w:cs="Cambria Math"/>
          <w:b/>
          <w:bCs/>
          <w:color w:val="auto"/>
          <w:sz w:val="28"/>
          <w:szCs w:val="28"/>
        </w:rPr>
        <w:t>⁻</w:t>
      </w:r>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Mice</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Subjected</w:t>
      </w:r>
      <w:proofErr w:type="spellEnd"/>
      <w:r w:rsidR="006251EA" w:rsidRPr="006D211D">
        <w:rPr>
          <w:rFonts w:ascii="Arial" w:hAnsi="Arial" w:cs="Arial"/>
          <w:b/>
          <w:bCs/>
          <w:color w:val="auto"/>
          <w:sz w:val="28"/>
          <w:szCs w:val="28"/>
        </w:rPr>
        <w:t xml:space="preserve"> </w:t>
      </w:r>
      <w:proofErr w:type="spellStart"/>
      <w:r w:rsidR="006251EA" w:rsidRPr="006D211D">
        <w:rPr>
          <w:rFonts w:ascii="Arial" w:hAnsi="Arial" w:cs="Arial"/>
          <w:b/>
          <w:bCs/>
          <w:color w:val="auto"/>
          <w:sz w:val="28"/>
          <w:szCs w:val="28"/>
        </w:rPr>
        <w:t>to</w:t>
      </w:r>
      <w:proofErr w:type="spellEnd"/>
      <w:r w:rsidR="006251EA" w:rsidRPr="006D211D">
        <w:rPr>
          <w:rFonts w:ascii="Arial" w:hAnsi="Arial" w:cs="Arial"/>
          <w:b/>
          <w:bCs/>
          <w:color w:val="auto"/>
          <w:sz w:val="28"/>
          <w:szCs w:val="28"/>
        </w:rPr>
        <w:t xml:space="preserve"> a </w:t>
      </w:r>
      <w:proofErr w:type="spellStart"/>
      <w:r w:rsidR="006251EA" w:rsidRPr="006D211D">
        <w:rPr>
          <w:rFonts w:ascii="Arial" w:hAnsi="Arial" w:cs="Arial"/>
          <w:b/>
          <w:bCs/>
          <w:color w:val="auto"/>
          <w:sz w:val="28"/>
          <w:szCs w:val="28"/>
        </w:rPr>
        <w:t>Hypercaloric</w:t>
      </w:r>
      <w:proofErr w:type="spellEnd"/>
      <w:r w:rsidR="006251EA" w:rsidRPr="006D211D">
        <w:rPr>
          <w:rFonts w:ascii="Arial" w:hAnsi="Arial" w:cs="Arial"/>
          <w:b/>
          <w:bCs/>
          <w:color w:val="auto"/>
          <w:sz w:val="28"/>
          <w:szCs w:val="28"/>
        </w:rPr>
        <w:t xml:space="preserve"> Diet</w:t>
      </w:r>
      <w:bookmarkEnd w:id="2"/>
    </w:p>
    <w:p w14:paraId="79EDC4C8" w14:textId="021B52A9" w:rsidR="00C26F74" w:rsidRPr="00C26F74" w:rsidRDefault="009C10C5" w:rsidP="009C10C5">
      <w:pPr>
        <w:spacing w:before="100" w:beforeAutospacing="1" w:after="100" w:afterAutospacing="1" w:line="240" w:lineRule="auto"/>
        <w:jc w:val="both"/>
        <w:rPr>
          <w:rFonts w:ascii="Arial" w:eastAsia="Times New Roman" w:hAnsi="Arial" w:cs="Arial"/>
          <w:sz w:val="20"/>
          <w:szCs w:val="20"/>
          <w:lang w:eastAsia="pt-BR"/>
        </w:rPr>
      </w:pPr>
      <w:r w:rsidRPr="009C10C5">
        <w:rPr>
          <w:rFonts w:ascii="Arial" w:eastAsia="Times New Roman" w:hAnsi="Arial" w:cs="Arial"/>
          <w:b/>
          <w:bCs/>
          <w:sz w:val="20"/>
          <w:szCs w:val="20"/>
          <w:lang w:eastAsia="pt-BR"/>
        </w:rPr>
        <w:t>Lícia Cristina Silva de Lima Oliveira¹</w:t>
      </w:r>
      <w:r w:rsidR="00C26F74" w:rsidRPr="00C26F74">
        <w:rPr>
          <w:rFonts w:ascii="Arial" w:eastAsia="Times New Roman" w:hAnsi="Arial" w:cs="Arial"/>
          <w:b/>
          <w:bCs/>
          <w:sz w:val="20"/>
          <w:szCs w:val="20"/>
          <w:lang w:eastAsia="pt-BR"/>
        </w:rPr>
        <w:t>*</w:t>
      </w:r>
      <w:r w:rsidRPr="009C10C5">
        <w:rPr>
          <w:rFonts w:ascii="Arial" w:eastAsia="Times New Roman" w:hAnsi="Arial" w:cs="Arial"/>
          <w:b/>
          <w:bCs/>
          <w:sz w:val="20"/>
          <w:szCs w:val="20"/>
          <w:lang w:eastAsia="pt-BR"/>
        </w:rPr>
        <w:t xml:space="preserve">; Antônio João Viana Batista¹; </w:t>
      </w:r>
      <w:proofErr w:type="spellStart"/>
      <w:r w:rsidRPr="009C10C5">
        <w:rPr>
          <w:rFonts w:ascii="Arial" w:eastAsia="Times New Roman" w:hAnsi="Arial" w:cs="Arial"/>
          <w:b/>
          <w:bCs/>
          <w:sz w:val="20"/>
          <w:szCs w:val="20"/>
          <w:lang w:eastAsia="pt-BR"/>
        </w:rPr>
        <w:t>Satia</w:t>
      </w:r>
      <w:proofErr w:type="spellEnd"/>
      <w:r w:rsidRPr="009C10C5">
        <w:rPr>
          <w:rFonts w:ascii="Arial" w:eastAsia="Times New Roman" w:hAnsi="Arial" w:cs="Arial"/>
          <w:b/>
          <w:bCs/>
          <w:sz w:val="20"/>
          <w:szCs w:val="20"/>
          <w:lang w:eastAsia="pt-BR"/>
        </w:rPr>
        <w:t xml:space="preserve"> Ananda de Souza Gonçalves¹; Marcella Martins Terra¹; </w:t>
      </w:r>
      <w:proofErr w:type="spellStart"/>
      <w:r w:rsidRPr="009C10C5">
        <w:rPr>
          <w:rFonts w:ascii="Arial" w:eastAsia="Times New Roman" w:hAnsi="Arial" w:cs="Arial"/>
          <w:b/>
          <w:bCs/>
          <w:sz w:val="20"/>
          <w:szCs w:val="20"/>
          <w:lang w:eastAsia="pt-BR"/>
        </w:rPr>
        <w:t>Girlandia</w:t>
      </w:r>
      <w:proofErr w:type="spellEnd"/>
      <w:r w:rsidRPr="009C10C5">
        <w:rPr>
          <w:rFonts w:ascii="Arial" w:eastAsia="Times New Roman" w:hAnsi="Arial" w:cs="Arial"/>
          <w:b/>
          <w:bCs/>
          <w:sz w:val="20"/>
          <w:szCs w:val="20"/>
          <w:lang w:eastAsia="pt-BR"/>
        </w:rPr>
        <w:t xml:space="preserve"> Alexandre Brasil Amorim¹.</w:t>
      </w:r>
      <w:r w:rsidRPr="009C10C5">
        <w:rPr>
          <w:rFonts w:ascii="Arial" w:eastAsia="Times New Roman" w:hAnsi="Arial" w:cs="Arial"/>
          <w:sz w:val="20"/>
          <w:szCs w:val="20"/>
          <w:lang w:eastAsia="pt-BR"/>
        </w:rPr>
        <w:t xml:space="preserve"> </w:t>
      </w:r>
    </w:p>
    <w:p w14:paraId="40853DDF" w14:textId="25ECB50C" w:rsidR="00C26F74" w:rsidRPr="008D64CA" w:rsidRDefault="00C26F74" w:rsidP="009C10C5">
      <w:pPr>
        <w:spacing w:before="100" w:beforeAutospacing="1" w:after="100" w:afterAutospacing="1" w:line="240" w:lineRule="auto"/>
        <w:jc w:val="both"/>
        <w:rPr>
          <w:rFonts w:ascii="Arial" w:eastAsia="Times New Roman" w:hAnsi="Arial" w:cs="Arial"/>
          <w:i/>
          <w:iCs/>
          <w:sz w:val="20"/>
          <w:szCs w:val="20"/>
          <w:lang w:eastAsia="pt-BR"/>
        </w:rPr>
      </w:pPr>
      <w:r w:rsidRPr="008D64CA">
        <w:rPr>
          <w:rFonts w:ascii="Arial" w:eastAsia="Times New Roman" w:hAnsi="Arial" w:cs="Arial"/>
          <w:i/>
          <w:iCs/>
          <w:sz w:val="20"/>
          <w:szCs w:val="20"/>
          <w:lang w:eastAsia="pt-BR"/>
        </w:rPr>
        <w:t>*</w:t>
      </w:r>
      <w:hyperlink r:id="rId24" w:history="1">
        <w:r w:rsidRPr="009C10C5">
          <w:rPr>
            <w:rFonts w:ascii="Arial" w:hAnsi="Arial" w:cs="Arial"/>
            <w:i/>
            <w:iCs/>
            <w:sz w:val="20"/>
            <w:szCs w:val="20"/>
            <w:lang w:eastAsia="pt-BR"/>
          </w:rPr>
          <w:t>licia.csl@gmail.com</w:t>
        </w:r>
      </w:hyperlink>
      <w:r w:rsidR="009C10C5" w:rsidRPr="009C10C5">
        <w:rPr>
          <w:rFonts w:ascii="Arial" w:eastAsia="Times New Roman" w:hAnsi="Arial" w:cs="Arial"/>
          <w:i/>
          <w:iCs/>
          <w:sz w:val="20"/>
          <w:szCs w:val="20"/>
          <w:lang w:eastAsia="pt-BR"/>
        </w:rPr>
        <w:t xml:space="preserve"> </w:t>
      </w:r>
    </w:p>
    <w:p w14:paraId="2C8057B0" w14:textId="77777777" w:rsidR="00C26F74" w:rsidRPr="00052885" w:rsidRDefault="009C10C5" w:rsidP="00C26F74">
      <w:pPr>
        <w:spacing w:after="0" w:line="240" w:lineRule="auto"/>
        <w:jc w:val="both"/>
        <w:rPr>
          <w:rFonts w:ascii="Arial" w:eastAsia="Times New Roman" w:hAnsi="Arial" w:cs="Arial"/>
          <w:i/>
          <w:iCs/>
          <w:sz w:val="18"/>
          <w:szCs w:val="18"/>
          <w:lang w:eastAsia="pt-BR"/>
        </w:rPr>
      </w:pPr>
      <w:r w:rsidRPr="009C10C5">
        <w:rPr>
          <w:rFonts w:ascii="Arial" w:eastAsia="Times New Roman" w:hAnsi="Arial" w:cs="Arial"/>
          <w:i/>
          <w:iCs/>
          <w:sz w:val="18"/>
          <w:szCs w:val="18"/>
          <w:lang w:eastAsia="pt-BR"/>
        </w:rPr>
        <w:t xml:space="preserve">¹Universidade de Vila Velha (UVV), Vila Velha, ES, </w:t>
      </w:r>
      <w:proofErr w:type="spellStart"/>
      <w:r w:rsidRPr="009C10C5">
        <w:rPr>
          <w:rFonts w:ascii="Arial" w:eastAsia="Times New Roman" w:hAnsi="Arial" w:cs="Arial"/>
          <w:i/>
          <w:iCs/>
          <w:sz w:val="18"/>
          <w:szCs w:val="18"/>
          <w:lang w:eastAsia="pt-BR"/>
        </w:rPr>
        <w:t>Brazil</w:t>
      </w:r>
      <w:proofErr w:type="spellEnd"/>
      <w:r w:rsidRPr="009C10C5">
        <w:rPr>
          <w:rFonts w:ascii="Arial" w:eastAsia="Times New Roman" w:hAnsi="Arial" w:cs="Arial"/>
          <w:i/>
          <w:iCs/>
          <w:sz w:val="18"/>
          <w:szCs w:val="18"/>
          <w:lang w:eastAsia="pt-BR"/>
        </w:rPr>
        <w:t xml:space="preserve">. </w:t>
      </w:r>
    </w:p>
    <w:p w14:paraId="246C3D04" w14:textId="77777777" w:rsidR="00052885" w:rsidRDefault="00052885" w:rsidP="00C26F74">
      <w:pPr>
        <w:spacing w:after="0" w:line="240" w:lineRule="auto"/>
        <w:jc w:val="both"/>
        <w:rPr>
          <w:rFonts w:ascii="Arial" w:eastAsia="Times New Roman" w:hAnsi="Arial" w:cs="Arial"/>
          <w:b/>
          <w:bCs/>
          <w:i/>
          <w:iCs/>
          <w:sz w:val="18"/>
          <w:szCs w:val="18"/>
          <w:lang w:val="en-US" w:eastAsia="pt-BR"/>
        </w:rPr>
      </w:pPr>
    </w:p>
    <w:p w14:paraId="0E4921C0" w14:textId="26123AF3" w:rsidR="00C26F74" w:rsidRPr="004264B1" w:rsidRDefault="009C10C5" w:rsidP="00C26F74">
      <w:pPr>
        <w:spacing w:after="0" w:line="240" w:lineRule="auto"/>
        <w:jc w:val="both"/>
        <w:rPr>
          <w:rFonts w:ascii="Arial" w:eastAsia="Times New Roman" w:hAnsi="Arial" w:cs="Arial"/>
          <w:sz w:val="18"/>
          <w:szCs w:val="18"/>
          <w:lang w:val="en-US" w:eastAsia="pt-BR"/>
        </w:rPr>
      </w:pPr>
      <w:r w:rsidRPr="009C10C5">
        <w:rPr>
          <w:rFonts w:ascii="Arial" w:eastAsia="Times New Roman" w:hAnsi="Arial" w:cs="Arial"/>
          <w:b/>
          <w:bCs/>
          <w:sz w:val="18"/>
          <w:szCs w:val="18"/>
          <w:lang w:val="en-US" w:eastAsia="pt-BR"/>
        </w:rPr>
        <w:t>Thematic session:</w:t>
      </w:r>
      <w:r w:rsidRPr="009C10C5">
        <w:rPr>
          <w:rFonts w:ascii="Arial" w:eastAsia="Times New Roman" w:hAnsi="Arial" w:cs="Arial"/>
          <w:sz w:val="18"/>
          <w:szCs w:val="18"/>
          <w:lang w:val="en-US" w:eastAsia="pt-BR"/>
        </w:rPr>
        <w:t xml:space="preserve"> Pathophysiology and triggering factors of human and animal diseases.</w:t>
      </w:r>
    </w:p>
    <w:p w14:paraId="73C4EDAC" w14:textId="77777777" w:rsidR="00C26F74" w:rsidRPr="00C26F74" w:rsidRDefault="00C26F74" w:rsidP="00C26F74">
      <w:pPr>
        <w:spacing w:after="0" w:line="240" w:lineRule="auto"/>
        <w:jc w:val="both"/>
        <w:rPr>
          <w:rFonts w:ascii="Arial" w:eastAsia="Times New Roman" w:hAnsi="Arial" w:cs="Arial"/>
          <w:i/>
          <w:iCs/>
          <w:sz w:val="20"/>
          <w:szCs w:val="20"/>
          <w:lang w:val="en-US" w:eastAsia="pt-BR"/>
        </w:rPr>
      </w:pPr>
    </w:p>
    <w:p w14:paraId="520A41A2" w14:textId="77777777" w:rsidR="00C26F74" w:rsidRPr="00C26F74" w:rsidRDefault="009C10C5" w:rsidP="00C26F74">
      <w:pPr>
        <w:spacing w:after="0" w:line="240" w:lineRule="auto"/>
        <w:jc w:val="both"/>
        <w:rPr>
          <w:rFonts w:ascii="Arial" w:eastAsia="Times New Roman" w:hAnsi="Arial" w:cs="Arial"/>
          <w:sz w:val="20"/>
          <w:szCs w:val="20"/>
          <w:lang w:val="en-US" w:eastAsia="pt-BR"/>
        </w:rPr>
      </w:pPr>
      <w:r w:rsidRPr="009C10C5">
        <w:rPr>
          <w:rFonts w:ascii="Arial" w:eastAsia="Times New Roman" w:hAnsi="Arial" w:cs="Arial"/>
          <w:b/>
          <w:bCs/>
          <w:sz w:val="20"/>
          <w:szCs w:val="20"/>
          <w:lang w:val="en-US" w:eastAsia="pt-BR"/>
        </w:rPr>
        <w:t>INTRODUCTION:</w:t>
      </w:r>
      <w:r w:rsidRPr="009C10C5">
        <w:rPr>
          <w:rFonts w:ascii="Arial" w:eastAsia="Times New Roman" w:hAnsi="Arial" w:cs="Arial"/>
          <w:sz w:val="20"/>
          <w:szCs w:val="20"/>
          <w:lang w:val="en-US" w:eastAsia="pt-BR"/>
        </w:rPr>
        <w:t xml:space="preserve"> Intestinal inflammation is associated with changes in the epithelial barrier and immune dysregulation, conditions that are aggravated by hypercaloric diets. Liraglutide, a GLP-1 receptor agonist, has anti-inflammatory and metabolic effects and has been explored as a potential therapy for obesity and related diseases. </w:t>
      </w:r>
      <w:r w:rsidRPr="009C10C5">
        <w:rPr>
          <w:rFonts w:ascii="Arial" w:eastAsia="Times New Roman" w:hAnsi="Arial" w:cs="Arial"/>
          <w:b/>
          <w:bCs/>
          <w:sz w:val="20"/>
          <w:szCs w:val="20"/>
          <w:lang w:val="en-US" w:eastAsia="pt-BR"/>
        </w:rPr>
        <w:t>OBJECTIVE:</w:t>
      </w:r>
      <w:r w:rsidRPr="009C10C5">
        <w:rPr>
          <w:rFonts w:ascii="Arial" w:eastAsia="Times New Roman" w:hAnsi="Arial" w:cs="Arial"/>
          <w:sz w:val="20"/>
          <w:szCs w:val="20"/>
          <w:lang w:val="en-US" w:eastAsia="pt-BR"/>
        </w:rPr>
        <w:t xml:space="preserve"> To evaluate the effects of liraglutide, a GLP-1 receptor agonist, on intestinal ultrastructure and weight control in LDL receptor knockout mice (</w:t>
      </w:r>
      <w:proofErr w:type="spellStart"/>
      <w:r w:rsidRPr="009C10C5">
        <w:rPr>
          <w:rFonts w:ascii="Arial" w:eastAsia="Times New Roman" w:hAnsi="Arial" w:cs="Arial"/>
          <w:sz w:val="20"/>
          <w:szCs w:val="20"/>
          <w:lang w:val="en-US" w:eastAsia="pt-BR"/>
        </w:rPr>
        <w:t>LDLr</w:t>
      </w:r>
      <w:proofErr w:type="spellEnd"/>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w:t>
      </w:r>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 xml:space="preserve">) subjected to a Western diet. </w:t>
      </w:r>
      <w:r w:rsidRPr="009C10C5">
        <w:rPr>
          <w:rFonts w:ascii="Arial" w:eastAsia="Times New Roman" w:hAnsi="Arial" w:cs="Arial"/>
          <w:b/>
          <w:bCs/>
          <w:sz w:val="20"/>
          <w:szCs w:val="20"/>
          <w:lang w:val="en-US" w:eastAsia="pt-BR"/>
        </w:rPr>
        <w:t>METHODOLOGY:</w:t>
      </w:r>
      <w:r w:rsidRPr="009C10C5">
        <w:rPr>
          <w:rFonts w:ascii="Arial" w:eastAsia="Times New Roman" w:hAnsi="Arial" w:cs="Arial"/>
          <w:sz w:val="20"/>
          <w:szCs w:val="20"/>
          <w:lang w:val="en-US" w:eastAsia="pt-BR"/>
        </w:rPr>
        <w:t xml:space="preserve"> </w:t>
      </w:r>
      <w:proofErr w:type="spellStart"/>
      <w:r w:rsidRPr="009C10C5">
        <w:rPr>
          <w:rFonts w:ascii="Arial" w:eastAsia="Times New Roman" w:hAnsi="Arial" w:cs="Arial"/>
          <w:sz w:val="20"/>
          <w:szCs w:val="20"/>
          <w:lang w:val="en-US" w:eastAsia="pt-BR"/>
        </w:rPr>
        <w:t>LDLr</w:t>
      </w:r>
      <w:proofErr w:type="spellEnd"/>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w:t>
      </w:r>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 xml:space="preserve"> mice were divided into groups receiving either a standard diet or a Western diet (WD), with or without liraglutide. After two months, histological and morphological analyses of intestinal villi were performed along with body weight assessment. Female LDL receptor knockout (</w:t>
      </w:r>
      <w:proofErr w:type="spellStart"/>
      <w:r w:rsidRPr="009C10C5">
        <w:rPr>
          <w:rFonts w:ascii="Arial" w:eastAsia="Times New Roman" w:hAnsi="Arial" w:cs="Arial"/>
          <w:sz w:val="20"/>
          <w:szCs w:val="20"/>
          <w:lang w:val="en-US" w:eastAsia="pt-BR"/>
        </w:rPr>
        <w:t>LDLr</w:t>
      </w:r>
      <w:proofErr w:type="spellEnd"/>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w:t>
      </w:r>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 mice and their wild-type controls (C57BL/6), aged 2–3 months, were randomly assigned to three groups: (1) Wild Type (WT), which received a standard diet (</w:t>
      </w:r>
      <w:proofErr w:type="spellStart"/>
      <w:r w:rsidRPr="009C10C5">
        <w:rPr>
          <w:rFonts w:ascii="Arial" w:eastAsia="Times New Roman" w:hAnsi="Arial" w:cs="Arial"/>
          <w:sz w:val="20"/>
          <w:szCs w:val="20"/>
          <w:lang w:val="en-US" w:eastAsia="pt-BR"/>
        </w:rPr>
        <w:t>Alinutri</w:t>
      </w:r>
      <w:proofErr w:type="spellEnd"/>
      <w:r w:rsidRPr="009C10C5">
        <w:rPr>
          <w:rFonts w:ascii="Arial" w:eastAsia="Times New Roman" w:hAnsi="Arial" w:cs="Arial"/>
          <w:sz w:val="20"/>
          <w:szCs w:val="20"/>
          <w:lang w:val="en-US" w:eastAsia="pt-BR"/>
        </w:rPr>
        <w:t>® laboratory chow) and saline solution (vehicle); (2) Control group (</w:t>
      </w:r>
      <w:proofErr w:type="spellStart"/>
      <w:r w:rsidRPr="009C10C5">
        <w:rPr>
          <w:rFonts w:ascii="Arial" w:eastAsia="Times New Roman" w:hAnsi="Arial" w:cs="Arial"/>
          <w:sz w:val="20"/>
          <w:szCs w:val="20"/>
          <w:lang w:val="en-US" w:eastAsia="pt-BR"/>
        </w:rPr>
        <w:t>LDLr</w:t>
      </w:r>
      <w:proofErr w:type="spellEnd"/>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w:t>
      </w:r>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 which received a hypercaloric diet and vehicle (saline, subcutaneous); and (3) Lira/</w:t>
      </w:r>
      <w:proofErr w:type="spellStart"/>
      <w:r w:rsidRPr="009C10C5">
        <w:rPr>
          <w:rFonts w:ascii="Arial" w:eastAsia="Times New Roman" w:hAnsi="Arial" w:cs="Arial"/>
          <w:sz w:val="20"/>
          <w:szCs w:val="20"/>
          <w:lang w:val="en-US" w:eastAsia="pt-BR"/>
        </w:rPr>
        <w:t>LDLr</w:t>
      </w:r>
      <w:proofErr w:type="spellEnd"/>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w:t>
      </w:r>
      <w:r w:rsidRPr="009C10C5">
        <w:rPr>
          <w:rFonts w:ascii="Cambria Math" w:eastAsia="Times New Roman" w:hAnsi="Cambria Math" w:cs="Cambria Math"/>
          <w:sz w:val="20"/>
          <w:szCs w:val="20"/>
          <w:lang w:val="en-US" w:eastAsia="pt-BR"/>
        </w:rPr>
        <w:t>⁻</w:t>
      </w:r>
      <w:r w:rsidRPr="009C10C5">
        <w:rPr>
          <w:rFonts w:ascii="Arial" w:eastAsia="Times New Roman" w:hAnsi="Arial" w:cs="Arial"/>
          <w:sz w:val="20"/>
          <w:szCs w:val="20"/>
          <w:lang w:val="en-US" w:eastAsia="pt-BR"/>
        </w:rPr>
        <w:t xml:space="preserve"> group, which received a hypercaloric diet and was treated with liraglutide Victoza® (1.2 mg/kg/day, subcutaneous). The hypercaloric diet (Western Diet, </w:t>
      </w:r>
      <w:proofErr w:type="spellStart"/>
      <w:r w:rsidRPr="009C10C5">
        <w:rPr>
          <w:rFonts w:ascii="Arial" w:eastAsia="Times New Roman" w:hAnsi="Arial" w:cs="Arial"/>
          <w:sz w:val="20"/>
          <w:szCs w:val="20"/>
          <w:lang w:val="en-US" w:eastAsia="pt-BR"/>
        </w:rPr>
        <w:t>Pragsoluções</w:t>
      </w:r>
      <w:proofErr w:type="spellEnd"/>
      <w:r w:rsidRPr="009C10C5">
        <w:rPr>
          <w:rFonts w:ascii="Arial" w:eastAsia="Times New Roman" w:hAnsi="Arial" w:cs="Arial"/>
          <w:sz w:val="20"/>
          <w:szCs w:val="20"/>
          <w:lang w:val="en-US" w:eastAsia="pt-BR"/>
        </w:rPr>
        <w:t xml:space="preserve">®), rich in sucrose and lipids, was composed of 16.9% protein, 42.8% carbohydrates, 40.3% lipids, and 0.15% cholesterol. The treatment lasted for 60 consecutive days. At the end of the protocol, animals were euthanized, intestines were collected, fixed in </w:t>
      </w:r>
      <w:proofErr w:type="spellStart"/>
      <w:r w:rsidRPr="009C10C5">
        <w:rPr>
          <w:rFonts w:ascii="Arial" w:eastAsia="Times New Roman" w:hAnsi="Arial" w:cs="Arial"/>
          <w:sz w:val="20"/>
          <w:szCs w:val="20"/>
          <w:lang w:val="en-US" w:eastAsia="pt-BR"/>
        </w:rPr>
        <w:t>Bouin’s</w:t>
      </w:r>
      <w:proofErr w:type="spellEnd"/>
      <w:r w:rsidRPr="009C10C5">
        <w:rPr>
          <w:rFonts w:ascii="Arial" w:eastAsia="Times New Roman" w:hAnsi="Arial" w:cs="Arial"/>
          <w:sz w:val="20"/>
          <w:szCs w:val="20"/>
          <w:lang w:val="en-US" w:eastAsia="pt-BR"/>
        </w:rPr>
        <w:t xml:space="preserve"> solution, and embedded in paraffin. Histological sections were stained with Alcian blue/periodic acid-Schiff, counterstained with hematoxylin for histological and morphological analyses of intestinal villi, and body weight gain was assessed. Statistical analysis was performed using ANOVA followed by Tukey’s post hoc test, with significance set at p &lt; 0.05. </w:t>
      </w:r>
      <w:r w:rsidRPr="009C10C5">
        <w:rPr>
          <w:rFonts w:ascii="Arial" w:eastAsia="Times New Roman" w:hAnsi="Arial" w:cs="Arial"/>
          <w:b/>
          <w:bCs/>
          <w:sz w:val="20"/>
          <w:szCs w:val="20"/>
          <w:lang w:val="en-US" w:eastAsia="pt-BR"/>
        </w:rPr>
        <w:t>RESULTS AND DISCUSSION:</w:t>
      </w:r>
      <w:r w:rsidRPr="009C10C5">
        <w:rPr>
          <w:rFonts w:ascii="Arial" w:eastAsia="Times New Roman" w:hAnsi="Arial" w:cs="Arial"/>
          <w:sz w:val="20"/>
          <w:szCs w:val="20"/>
          <w:lang w:val="en-US" w:eastAsia="pt-BR"/>
        </w:rPr>
        <w:t xml:space="preserve"> Liraglutide-treated animals showed significant prevention of weight gain associated with WD. However, no significant changes in intestinal morphology were detected in any of the groups. </w:t>
      </w:r>
      <w:r w:rsidRPr="009C10C5">
        <w:rPr>
          <w:rFonts w:ascii="Arial" w:eastAsia="Times New Roman" w:hAnsi="Arial" w:cs="Arial"/>
          <w:b/>
          <w:bCs/>
          <w:sz w:val="20"/>
          <w:szCs w:val="20"/>
          <w:lang w:val="en-US" w:eastAsia="pt-BR"/>
        </w:rPr>
        <w:t>CONCLUSIONS:</w:t>
      </w:r>
      <w:r w:rsidRPr="009C10C5">
        <w:rPr>
          <w:rFonts w:ascii="Arial" w:eastAsia="Times New Roman" w:hAnsi="Arial" w:cs="Arial"/>
          <w:sz w:val="20"/>
          <w:szCs w:val="20"/>
          <w:lang w:val="en-US" w:eastAsia="pt-BR"/>
        </w:rPr>
        <w:t xml:space="preserve"> The findings demonstrate a potential benefit of liraglutide in mitigating diet-induced weight gain, although the short treatment duration did not allow structural changes in intestinal morphology. The study reinforces the relevance of pharmacological approaches combined with lifestyle modification in the treatment of obesity. </w:t>
      </w:r>
    </w:p>
    <w:p w14:paraId="775F4A99" w14:textId="77777777" w:rsidR="00C26F74" w:rsidRPr="00C26F74" w:rsidRDefault="00C26F74" w:rsidP="00C26F74">
      <w:pPr>
        <w:spacing w:after="0" w:line="240" w:lineRule="auto"/>
        <w:jc w:val="both"/>
        <w:rPr>
          <w:rFonts w:ascii="Arial" w:eastAsia="Times New Roman" w:hAnsi="Arial" w:cs="Arial"/>
          <w:sz w:val="20"/>
          <w:szCs w:val="20"/>
          <w:lang w:val="en-US" w:eastAsia="pt-BR"/>
        </w:rPr>
      </w:pPr>
    </w:p>
    <w:p w14:paraId="126F4B16" w14:textId="378AC0EE" w:rsidR="00C26F74" w:rsidRPr="00052885" w:rsidRDefault="00052885" w:rsidP="00C26F74">
      <w:pPr>
        <w:spacing w:after="0" w:line="240" w:lineRule="auto"/>
        <w:jc w:val="both"/>
        <w:rPr>
          <w:rFonts w:ascii="Arial" w:eastAsia="Times New Roman" w:hAnsi="Arial" w:cs="Arial"/>
          <w:i/>
          <w:iCs/>
          <w:sz w:val="18"/>
          <w:szCs w:val="18"/>
          <w:lang w:val="en-US" w:eastAsia="pt-BR"/>
        </w:rPr>
      </w:pPr>
      <w:r w:rsidRPr="00052885">
        <w:rPr>
          <w:rFonts w:ascii="Arial" w:eastAsia="Times New Roman" w:hAnsi="Arial" w:cs="Arial"/>
          <w:sz w:val="18"/>
          <w:szCs w:val="18"/>
          <w:lang w:val="en-US" w:eastAsia="pt-BR"/>
        </w:rPr>
        <w:t>Keywords:</w:t>
      </w:r>
      <w:r w:rsidR="008D64CA" w:rsidRPr="00052885">
        <w:rPr>
          <w:rFonts w:ascii="Arial" w:eastAsia="Times New Roman" w:hAnsi="Arial" w:cs="Arial"/>
          <w:sz w:val="18"/>
          <w:szCs w:val="18"/>
          <w:lang w:val="en-US" w:eastAsia="pt-BR"/>
        </w:rPr>
        <w:t xml:space="preserve"> </w:t>
      </w:r>
      <w:r w:rsidR="009C10C5" w:rsidRPr="009C10C5">
        <w:rPr>
          <w:rFonts w:ascii="Arial" w:eastAsia="Times New Roman" w:hAnsi="Arial" w:cs="Arial"/>
          <w:i/>
          <w:iCs/>
          <w:sz w:val="18"/>
          <w:szCs w:val="18"/>
          <w:lang w:val="en-US" w:eastAsia="pt-BR"/>
        </w:rPr>
        <w:t xml:space="preserve">Liraglutide; GLP-1; Western diet; ultrastructure; obesity. </w:t>
      </w:r>
    </w:p>
    <w:p w14:paraId="67897EC6" w14:textId="77777777" w:rsidR="00C26F74" w:rsidRPr="008D64CA" w:rsidRDefault="00C26F74" w:rsidP="00C26F74">
      <w:pPr>
        <w:spacing w:after="0" w:line="240" w:lineRule="auto"/>
        <w:jc w:val="both"/>
        <w:rPr>
          <w:rFonts w:ascii="Arial" w:eastAsia="Times New Roman" w:hAnsi="Arial" w:cs="Arial"/>
          <w:b/>
          <w:bCs/>
          <w:sz w:val="20"/>
          <w:szCs w:val="20"/>
          <w:lang w:val="en-US" w:eastAsia="pt-BR"/>
        </w:rPr>
      </w:pPr>
    </w:p>
    <w:p w14:paraId="6CDC520F" w14:textId="65873E2F" w:rsidR="009C10C5" w:rsidRPr="009C10C5" w:rsidRDefault="00052885" w:rsidP="00C26F74">
      <w:pPr>
        <w:spacing w:after="0" w:line="240" w:lineRule="auto"/>
        <w:jc w:val="both"/>
        <w:rPr>
          <w:rFonts w:ascii="Arial" w:eastAsia="Times New Roman" w:hAnsi="Arial" w:cs="Arial"/>
          <w:i/>
          <w:iCs/>
          <w:sz w:val="20"/>
          <w:szCs w:val="20"/>
          <w:lang w:val="en-US" w:eastAsia="pt-BR"/>
        </w:rPr>
      </w:pPr>
      <w:r w:rsidRPr="00052885">
        <w:rPr>
          <w:rFonts w:ascii="Arial" w:eastAsia="Times New Roman" w:hAnsi="Arial" w:cs="Arial"/>
          <w:sz w:val="20"/>
          <w:szCs w:val="20"/>
          <w:lang w:val="en-US" w:eastAsia="pt-BR"/>
        </w:rPr>
        <w:t>Acknowledgments:</w:t>
      </w:r>
      <w:r w:rsidR="008D64CA" w:rsidRPr="009C10C5">
        <w:rPr>
          <w:rFonts w:ascii="Arial" w:eastAsia="Times New Roman" w:hAnsi="Arial" w:cs="Arial"/>
          <w:sz w:val="20"/>
          <w:szCs w:val="20"/>
          <w:lang w:val="en-US" w:eastAsia="pt-BR"/>
        </w:rPr>
        <w:t xml:space="preserve"> </w:t>
      </w:r>
      <w:r w:rsidR="009C10C5" w:rsidRPr="009C10C5">
        <w:rPr>
          <w:rFonts w:ascii="Arial" w:eastAsia="Times New Roman" w:hAnsi="Arial" w:cs="Arial"/>
          <w:sz w:val="20"/>
          <w:szCs w:val="20"/>
          <w:lang w:val="en-US" w:eastAsia="pt-BR"/>
        </w:rPr>
        <w:t>UVV, FAPES.</w:t>
      </w:r>
    </w:p>
    <w:p w14:paraId="6728625A" w14:textId="23F95002" w:rsidR="00A01489" w:rsidRDefault="00A01489" w:rsidP="00167A03">
      <w:pPr>
        <w:jc w:val="center"/>
        <w:rPr>
          <w:rFonts w:ascii="Arial" w:hAnsi="Arial" w:cs="Arial"/>
          <w:sz w:val="30"/>
          <w:szCs w:val="30"/>
          <w:lang w:val="en-US"/>
        </w:rPr>
      </w:pPr>
    </w:p>
    <w:p w14:paraId="35112596" w14:textId="77777777" w:rsidR="008D64CA" w:rsidRDefault="008D64CA" w:rsidP="00167A03">
      <w:pPr>
        <w:jc w:val="center"/>
        <w:rPr>
          <w:rFonts w:ascii="Arial" w:hAnsi="Arial" w:cs="Arial"/>
          <w:sz w:val="30"/>
          <w:szCs w:val="30"/>
          <w:lang w:val="en-US"/>
        </w:rPr>
      </w:pPr>
    </w:p>
    <w:p w14:paraId="23FA365F" w14:textId="77777777" w:rsidR="008D64CA" w:rsidRDefault="008D64CA" w:rsidP="00167A03">
      <w:pPr>
        <w:jc w:val="center"/>
        <w:rPr>
          <w:rFonts w:ascii="Arial" w:hAnsi="Arial" w:cs="Arial"/>
          <w:sz w:val="30"/>
          <w:szCs w:val="30"/>
          <w:lang w:val="en-US"/>
        </w:rPr>
      </w:pPr>
    </w:p>
    <w:p w14:paraId="38DE9C87" w14:textId="77777777" w:rsidR="008D64CA" w:rsidRDefault="008D64CA" w:rsidP="00167A03">
      <w:pPr>
        <w:jc w:val="center"/>
        <w:rPr>
          <w:rFonts w:ascii="Arial" w:hAnsi="Arial" w:cs="Arial"/>
          <w:sz w:val="30"/>
          <w:szCs w:val="30"/>
          <w:lang w:val="en-US"/>
        </w:rPr>
      </w:pPr>
    </w:p>
    <w:p w14:paraId="432AEF42" w14:textId="77777777" w:rsidR="008D64CA" w:rsidRDefault="008D64CA" w:rsidP="00167A03">
      <w:pPr>
        <w:jc w:val="center"/>
        <w:rPr>
          <w:rFonts w:ascii="Arial" w:hAnsi="Arial" w:cs="Arial"/>
          <w:sz w:val="30"/>
          <w:szCs w:val="30"/>
          <w:lang w:val="en-US"/>
        </w:rPr>
      </w:pPr>
    </w:p>
    <w:p w14:paraId="101BD0D4" w14:textId="77777777" w:rsidR="008D64CA" w:rsidRDefault="008D64CA" w:rsidP="00167A03">
      <w:pPr>
        <w:jc w:val="center"/>
        <w:rPr>
          <w:rFonts w:ascii="Arial" w:hAnsi="Arial" w:cs="Arial"/>
          <w:sz w:val="30"/>
          <w:szCs w:val="30"/>
          <w:lang w:val="en-US"/>
        </w:rPr>
      </w:pPr>
    </w:p>
    <w:p w14:paraId="740489DB" w14:textId="77777777" w:rsidR="008D64CA" w:rsidRPr="00C26F74" w:rsidRDefault="008D64CA" w:rsidP="00167A03">
      <w:pPr>
        <w:jc w:val="center"/>
        <w:rPr>
          <w:rFonts w:ascii="Arial" w:hAnsi="Arial" w:cs="Arial"/>
          <w:sz w:val="30"/>
          <w:szCs w:val="30"/>
          <w:lang w:val="en-US"/>
        </w:rPr>
      </w:pPr>
    </w:p>
    <w:p w14:paraId="6D13AAC5" w14:textId="3F035C2F" w:rsidR="00C26F74" w:rsidRPr="006D211D" w:rsidRDefault="00C26F74" w:rsidP="006D211D">
      <w:pPr>
        <w:pStyle w:val="Ttulo1"/>
        <w:rPr>
          <w:rFonts w:ascii="Arial" w:eastAsia="Times New Roman" w:hAnsi="Arial" w:cs="Arial"/>
          <w:b/>
          <w:bCs/>
          <w:color w:val="auto"/>
          <w:sz w:val="28"/>
          <w:szCs w:val="28"/>
          <w:lang w:val="en-US" w:eastAsia="pt-BR"/>
        </w:rPr>
      </w:pPr>
      <w:bookmarkStart w:id="3" w:name="_Toc211954560"/>
      <w:r w:rsidRPr="006D211D">
        <w:rPr>
          <w:rFonts w:ascii="Arial" w:eastAsia="Times New Roman" w:hAnsi="Arial" w:cs="Arial"/>
          <w:b/>
          <w:bCs/>
          <w:color w:val="auto"/>
          <w:sz w:val="28"/>
          <w:szCs w:val="28"/>
          <w:lang w:val="en-US" w:eastAsia="pt-BR"/>
        </w:rPr>
        <w:lastRenderedPageBreak/>
        <w:t>Exploring the Relationship Between Physical Parameters and Biomarkers in Elite Brazilian Beach Volleyball Athletes</w:t>
      </w:r>
      <w:bookmarkEnd w:id="3"/>
    </w:p>
    <w:p w14:paraId="268B2767" w14:textId="0813FE9C" w:rsidR="00C26F74" w:rsidRPr="00C26F74" w:rsidRDefault="00C26F74" w:rsidP="00C26F74">
      <w:pPr>
        <w:spacing w:before="100" w:beforeAutospacing="1" w:after="100" w:afterAutospacing="1" w:line="240" w:lineRule="auto"/>
        <w:jc w:val="both"/>
        <w:rPr>
          <w:rFonts w:ascii="Arial" w:eastAsia="Times New Roman" w:hAnsi="Arial" w:cs="Arial"/>
          <w:sz w:val="20"/>
          <w:szCs w:val="20"/>
          <w:lang w:eastAsia="pt-BR"/>
        </w:rPr>
      </w:pPr>
      <w:r w:rsidRPr="00C26F74">
        <w:rPr>
          <w:rFonts w:ascii="Arial" w:eastAsia="Times New Roman" w:hAnsi="Arial" w:cs="Arial"/>
          <w:b/>
          <w:bCs/>
          <w:sz w:val="20"/>
          <w:szCs w:val="20"/>
          <w:lang w:eastAsia="pt-BR"/>
        </w:rPr>
        <w:t xml:space="preserve">Amanda Christina Gonçalves Do Carmo Gouveia¹*, Hélvio Oliveira Affonso¹, Larissa </w:t>
      </w:r>
      <w:proofErr w:type="spellStart"/>
      <w:r w:rsidRPr="00C26F74">
        <w:rPr>
          <w:rFonts w:ascii="Arial" w:eastAsia="Times New Roman" w:hAnsi="Arial" w:cs="Arial"/>
          <w:b/>
          <w:bCs/>
          <w:sz w:val="20"/>
          <w:szCs w:val="20"/>
          <w:lang w:eastAsia="pt-BR"/>
        </w:rPr>
        <w:t>Zambom</w:t>
      </w:r>
      <w:proofErr w:type="spellEnd"/>
      <w:r w:rsidRPr="00C26F74">
        <w:rPr>
          <w:rFonts w:ascii="Arial" w:eastAsia="Times New Roman" w:hAnsi="Arial" w:cs="Arial"/>
          <w:b/>
          <w:bCs/>
          <w:sz w:val="20"/>
          <w:szCs w:val="20"/>
          <w:lang w:eastAsia="pt-BR"/>
        </w:rPr>
        <w:t xml:space="preserve"> Coco¹, Alice Rosa Fernandes Bis¹, Rafaela Aires¹, Thiago Pereira Mello¹, Bianca Prandi Campagnaro¹</w:t>
      </w:r>
    </w:p>
    <w:p w14:paraId="43735A2F" w14:textId="18317DE1" w:rsidR="00C26F74" w:rsidRPr="00C26F74" w:rsidRDefault="00C26F74" w:rsidP="00C26F74">
      <w:pPr>
        <w:spacing w:before="100" w:beforeAutospacing="1" w:after="100" w:afterAutospacing="1" w:line="240" w:lineRule="auto"/>
        <w:rPr>
          <w:rFonts w:ascii="Arial" w:eastAsia="Times New Roman" w:hAnsi="Arial" w:cs="Arial"/>
          <w:i/>
          <w:iCs/>
          <w:sz w:val="20"/>
          <w:szCs w:val="20"/>
          <w:lang w:eastAsia="pt-BR"/>
        </w:rPr>
      </w:pPr>
      <w:r w:rsidRPr="008D64CA">
        <w:rPr>
          <w:rFonts w:ascii="Arial" w:eastAsia="Times New Roman" w:hAnsi="Arial" w:cs="Arial"/>
          <w:i/>
          <w:iCs/>
          <w:sz w:val="20"/>
          <w:szCs w:val="20"/>
          <w:lang w:eastAsia="pt-BR"/>
        </w:rPr>
        <w:t>*</w:t>
      </w:r>
      <w:r w:rsidRPr="00C26F74">
        <w:rPr>
          <w:rFonts w:ascii="Arial" w:eastAsia="Times New Roman" w:hAnsi="Arial" w:cs="Arial"/>
          <w:i/>
          <w:iCs/>
          <w:sz w:val="20"/>
          <w:szCs w:val="20"/>
          <w:lang w:eastAsia="pt-BR"/>
        </w:rPr>
        <w:t>amanda.cgcarmo@yahoo.com.br</w:t>
      </w:r>
    </w:p>
    <w:p w14:paraId="54F11018" w14:textId="77777777" w:rsidR="00C26F74" w:rsidRPr="004264B1" w:rsidRDefault="00C26F74" w:rsidP="00C26F74">
      <w:pPr>
        <w:spacing w:after="0" w:line="240" w:lineRule="auto"/>
        <w:jc w:val="both"/>
        <w:rPr>
          <w:rFonts w:ascii="Arial" w:eastAsia="Times New Roman" w:hAnsi="Arial" w:cs="Arial"/>
          <w:i/>
          <w:iCs/>
          <w:sz w:val="18"/>
          <w:szCs w:val="18"/>
          <w:lang w:val="en-US" w:eastAsia="pt-BR"/>
        </w:rPr>
      </w:pPr>
      <w:r w:rsidRPr="00C26F74">
        <w:rPr>
          <w:rFonts w:ascii="Arial" w:eastAsia="Times New Roman" w:hAnsi="Arial" w:cs="Arial"/>
          <w:i/>
          <w:iCs/>
          <w:sz w:val="18"/>
          <w:szCs w:val="18"/>
          <w:lang w:val="en-US" w:eastAsia="pt-BR"/>
        </w:rPr>
        <w:t>¹Laboratory of Translational Physiology and Pharmacology, Pharmaceutical Sciences Graduate Program, Vila Velha University (UVV), Vila Velha, ES, Brazil</w:t>
      </w:r>
    </w:p>
    <w:p w14:paraId="528914AD" w14:textId="77777777" w:rsidR="004264B1" w:rsidRDefault="004264B1" w:rsidP="008D64CA">
      <w:pPr>
        <w:spacing w:after="0" w:line="240" w:lineRule="auto"/>
        <w:jc w:val="both"/>
        <w:rPr>
          <w:rFonts w:ascii="Arial" w:eastAsia="Times New Roman" w:hAnsi="Arial" w:cs="Arial"/>
          <w:b/>
          <w:bCs/>
          <w:sz w:val="18"/>
          <w:szCs w:val="18"/>
          <w:lang w:val="en-US" w:eastAsia="pt-BR"/>
        </w:rPr>
      </w:pPr>
    </w:p>
    <w:p w14:paraId="0ED239B3" w14:textId="32FB4E3F" w:rsidR="008D64CA" w:rsidRPr="00C26F74" w:rsidRDefault="00C26F74" w:rsidP="008D64CA">
      <w:pPr>
        <w:spacing w:after="0" w:line="240" w:lineRule="auto"/>
        <w:jc w:val="both"/>
        <w:rPr>
          <w:rFonts w:ascii="Arial" w:eastAsia="Times New Roman" w:hAnsi="Arial" w:cs="Arial"/>
          <w:sz w:val="18"/>
          <w:szCs w:val="18"/>
          <w:lang w:val="en-US" w:eastAsia="pt-BR"/>
        </w:rPr>
      </w:pPr>
      <w:r w:rsidRPr="00C26F74">
        <w:rPr>
          <w:rFonts w:ascii="Arial" w:eastAsia="Times New Roman" w:hAnsi="Arial" w:cs="Arial"/>
          <w:b/>
          <w:bCs/>
          <w:sz w:val="18"/>
          <w:szCs w:val="18"/>
          <w:lang w:val="en-US" w:eastAsia="pt-BR"/>
        </w:rPr>
        <w:t>Thematic Session:</w:t>
      </w:r>
      <w:r w:rsidRPr="00C26F74">
        <w:rPr>
          <w:rFonts w:ascii="Arial" w:eastAsia="Times New Roman" w:hAnsi="Arial" w:cs="Arial"/>
          <w:sz w:val="18"/>
          <w:szCs w:val="18"/>
          <w:lang w:val="en-US" w:eastAsia="pt-BR"/>
        </w:rPr>
        <w:t xml:space="preserve"> Pathophysiology and Triggering Factors of Human and Animal Diseases.</w:t>
      </w:r>
    </w:p>
    <w:p w14:paraId="60CF2720" w14:textId="77777777" w:rsidR="00C26F74" w:rsidRPr="00C26F74" w:rsidRDefault="00C26F74" w:rsidP="00C26F74">
      <w:pPr>
        <w:spacing w:before="100" w:beforeAutospacing="1" w:after="100" w:afterAutospacing="1" w:line="240" w:lineRule="auto"/>
        <w:jc w:val="both"/>
        <w:rPr>
          <w:rFonts w:ascii="Arial" w:eastAsia="Times New Roman" w:hAnsi="Arial" w:cs="Arial"/>
          <w:sz w:val="20"/>
          <w:szCs w:val="20"/>
          <w:lang w:val="en-US" w:eastAsia="pt-BR"/>
        </w:rPr>
      </w:pPr>
      <w:r w:rsidRPr="00C26F74">
        <w:rPr>
          <w:rFonts w:ascii="Arial" w:eastAsia="Times New Roman" w:hAnsi="Arial" w:cs="Arial"/>
          <w:b/>
          <w:bCs/>
          <w:sz w:val="20"/>
          <w:szCs w:val="20"/>
          <w:lang w:val="en-US" w:eastAsia="pt-BR"/>
        </w:rPr>
        <w:t>INTRODUCTION:</w:t>
      </w:r>
      <w:r w:rsidRPr="00C26F74">
        <w:rPr>
          <w:rFonts w:ascii="Arial" w:eastAsia="Times New Roman" w:hAnsi="Arial" w:cs="Arial"/>
          <w:sz w:val="20"/>
          <w:szCs w:val="20"/>
          <w:lang w:val="en-US" w:eastAsia="pt-BR"/>
        </w:rPr>
        <w:t xml:space="preserve"> High-performance sports require innovative tools to monitor athletes’ progress before and after competitions. Among these, blood biomarkers may serve as valuable indicators of metabolism, such as those measuring oxidative stress. </w:t>
      </w:r>
      <w:r w:rsidRPr="00C26F74">
        <w:rPr>
          <w:rFonts w:ascii="Arial" w:eastAsia="Times New Roman" w:hAnsi="Arial" w:cs="Arial"/>
          <w:b/>
          <w:bCs/>
          <w:sz w:val="20"/>
          <w:szCs w:val="20"/>
          <w:lang w:val="en-US" w:eastAsia="pt-BR"/>
        </w:rPr>
        <w:t>OBJECTIVE:</w:t>
      </w:r>
      <w:r w:rsidRPr="00C26F74">
        <w:rPr>
          <w:rFonts w:ascii="Arial" w:eastAsia="Times New Roman" w:hAnsi="Arial" w:cs="Arial"/>
          <w:sz w:val="20"/>
          <w:szCs w:val="20"/>
          <w:lang w:val="en-US" w:eastAsia="pt-BR"/>
        </w:rPr>
        <w:t xml:space="preserve"> To evaluate the relationship between physical parameters and biochemical markers in elite Brazilian beach volleyball athletes, before and after matches in one stage of the 2022 Brazilian Beach Volleyball Circuit. </w:t>
      </w:r>
      <w:r w:rsidRPr="00C26F74">
        <w:rPr>
          <w:rFonts w:ascii="Arial" w:eastAsia="Times New Roman" w:hAnsi="Arial" w:cs="Arial"/>
          <w:b/>
          <w:bCs/>
          <w:sz w:val="20"/>
          <w:szCs w:val="20"/>
          <w:lang w:val="en-US" w:eastAsia="pt-BR"/>
        </w:rPr>
        <w:t>METHODOLOGY:</w:t>
      </w:r>
      <w:r w:rsidRPr="00C26F74">
        <w:rPr>
          <w:rFonts w:ascii="Arial" w:eastAsia="Times New Roman" w:hAnsi="Arial" w:cs="Arial"/>
          <w:sz w:val="20"/>
          <w:szCs w:val="20"/>
          <w:lang w:val="en-US" w:eastAsia="pt-BR"/>
        </w:rPr>
        <w:t xml:space="preserve"> The study was approved by the Research Ethics Committee (No. 2,373,739) and included professional beach volleyball athletes of both sexes. Blood samples were collected at two time points: before and after the matches. Reactive oxygen species (ROS) were quantified, as well as the following biochemical markers: creatinine, lactate dehydrogenase (LDH), serum iron, creatine kinase (CK), homocysteine (HCY), lactate, C-reactive protein (CRP), cortisol, and troponin. </w:t>
      </w:r>
      <w:r w:rsidRPr="00C26F74">
        <w:rPr>
          <w:rFonts w:ascii="Arial" w:eastAsia="Times New Roman" w:hAnsi="Arial" w:cs="Arial"/>
          <w:b/>
          <w:bCs/>
          <w:sz w:val="20"/>
          <w:szCs w:val="20"/>
          <w:lang w:val="en-US" w:eastAsia="pt-BR"/>
        </w:rPr>
        <w:t>RESULTS:</w:t>
      </w:r>
      <w:r w:rsidRPr="00C26F74">
        <w:rPr>
          <w:rFonts w:ascii="Arial" w:eastAsia="Times New Roman" w:hAnsi="Arial" w:cs="Arial"/>
          <w:sz w:val="20"/>
          <w:szCs w:val="20"/>
          <w:lang w:val="en-US" w:eastAsia="pt-BR"/>
        </w:rPr>
        <w:t xml:space="preserve"> The results indicated significant increases from pre- to post-match in both sexes for CK, troponin, ROS, and apoptosis markers. The increases in females and males were, respectively: CK (+298%, p&lt;0.05) and (+266%, p&lt;0.05); troponin (+461%, p&lt;0.05) and (+221%, p&lt;0.05); ROS (+308%, p&lt;0.05) and (+403%, p&lt;0.05); and apoptosis (+322%, p&lt;0.05) and (+320%, p&lt;0.05). Only female athletes showed changes in serum iron, LDH, creatinine, and lactate. A reduction in serum iron of approximately 40% was observed (pre: 116.5±37.9 </w:t>
      </w:r>
      <w:r w:rsidRPr="00C26F74">
        <w:rPr>
          <w:rFonts w:ascii="Arial" w:eastAsia="Times New Roman" w:hAnsi="Arial" w:cs="Arial"/>
          <w:sz w:val="20"/>
          <w:szCs w:val="20"/>
          <w:lang w:eastAsia="pt-BR"/>
        </w:rPr>
        <w:t>μ</w:t>
      </w:r>
      <w:r w:rsidRPr="00C26F74">
        <w:rPr>
          <w:rFonts w:ascii="Arial" w:eastAsia="Times New Roman" w:hAnsi="Arial" w:cs="Arial"/>
          <w:sz w:val="20"/>
          <w:szCs w:val="20"/>
          <w:lang w:val="en-US" w:eastAsia="pt-BR"/>
        </w:rPr>
        <w:t xml:space="preserve">g/dL; post: 68.6±35.5 </w:t>
      </w:r>
      <w:r w:rsidRPr="00C26F74">
        <w:rPr>
          <w:rFonts w:ascii="Arial" w:eastAsia="Times New Roman" w:hAnsi="Arial" w:cs="Arial"/>
          <w:sz w:val="20"/>
          <w:szCs w:val="20"/>
          <w:lang w:eastAsia="pt-BR"/>
        </w:rPr>
        <w:t>μ</w:t>
      </w:r>
      <w:r w:rsidRPr="00C26F74">
        <w:rPr>
          <w:rFonts w:ascii="Arial" w:eastAsia="Times New Roman" w:hAnsi="Arial" w:cs="Arial"/>
          <w:sz w:val="20"/>
          <w:szCs w:val="20"/>
          <w:lang w:val="en-US" w:eastAsia="pt-BR"/>
        </w:rPr>
        <w:t xml:space="preserve">g/dL). LDH increased by 33% (pre: 204.0±16.3 U/L; post: 272.7±29.4 U/L). Lactate decreased by 24% (pre: 5100±1168 mmol/L; post: 3920±1445 mmol/L). Creatinine increased by 20% (pre: 0.93±0.11 mg/dL; post: 1.1±0.12 mg/dL). Cortisol, CRP, and homocysteine, markers commonly used by coaches, showed no significant changes in either sex. Pre- and post-match mean ± SD values for females and males were, respectively: cortisol (pre: 20.41±7.9; post: 20.2±6.5; pre: 17.8±3.9; post: 16.5±8.6), CRP (pre: 3.0±6.5; post: 4.5±8.4; pre: 2.4±3.2; post: 8.4±19.1), and HCY (pre: 7.0±2.3; post: 6.6±2.7; pre: 9.4±2.0; post: 9.1±3.3). A positive correlation between serves (r = 0.650; p = 0.04) and attacks (r = 0.721; p = 0.01) with LDH was found only in males. </w:t>
      </w:r>
      <w:r w:rsidRPr="00C26F74">
        <w:rPr>
          <w:rFonts w:ascii="Arial" w:eastAsia="Times New Roman" w:hAnsi="Arial" w:cs="Arial"/>
          <w:b/>
          <w:bCs/>
          <w:sz w:val="20"/>
          <w:szCs w:val="20"/>
          <w:lang w:val="en-US" w:eastAsia="pt-BR"/>
        </w:rPr>
        <w:t>CONCLUSION:</w:t>
      </w:r>
      <w:r w:rsidRPr="00C26F74">
        <w:rPr>
          <w:rFonts w:ascii="Arial" w:eastAsia="Times New Roman" w:hAnsi="Arial" w:cs="Arial"/>
          <w:sz w:val="20"/>
          <w:szCs w:val="20"/>
          <w:lang w:val="en-US" w:eastAsia="pt-BR"/>
        </w:rPr>
        <w:t xml:space="preserve"> Changes in biomarkers may vary among athletes, influenced by training intensity, diet, hydration, and individual characteristics. Not all alterations are harmful; often, these adaptations are part of the natural process of improving sports performance. </w:t>
      </w:r>
    </w:p>
    <w:p w14:paraId="1F19617E" w14:textId="7EEB01DD" w:rsidR="00C26F74" w:rsidRPr="004264B1" w:rsidRDefault="004264B1" w:rsidP="00C26F74">
      <w:pPr>
        <w:spacing w:before="100" w:beforeAutospacing="1" w:after="100" w:afterAutospacing="1" w:line="240" w:lineRule="auto"/>
        <w:jc w:val="both"/>
        <w:rPr>
          <w:rFonts w:ascii="Arial" w:eastAsia="Times New Roman" w:hAnsi="Arial" w:cs="Arial"/>
          <w:sz w:val="18"/>
          <w:szCs w:val="18"/>
          <w:lang w:val="en-US" w:eastAsia="pt-BR"/>
        </w:rPr>
      </w:pPr>
      <w:r w:rsidRPr="004264B1">
        <w:rPr>
          <w:rFonts w:ascii="Arial" w:eastAsia="Times New Roman" w:hAnsi="Arial" w:cs="Arial"/>
          <w:sz w:val="18"/>
          <w:szCs w:val="18"/>
          <w:lang w:val="en-US" w:eastAsia="pt-BR"/>
        </w:rPr>
        <w:t>Keywords:</w:t>
      </w:r>
      <w:r w:rsidR="008D64CA" w:rsidRPr="004264B1">
        <w:rPr>
          <w:rFonts w:ascii="Arial" w:eastAsia="Times New Roman" w:hAnsi="Arial" w:cs="Arial"/>
          <w:sz w:val="18"/>
          <w:szCs w:val="18"/>
          <w:lang w:val="en-US" w:eastAsia="pt-BR"/>
        </w:rPr>
        <w:t xml:space="preserve"> </w:t>
      </w:r>
      <w:r w:rsidR="00C26F74" w:rsidRPr="004264B1">
        <w:rPr>
          <w:rFonts w:ascii="Arial" w:eastAsia="Times New Roman" w:hAnsi="Arial" w:cs="Arial"/>
          <w:i/>
          <w:iCs/>
          <w:sz w:val="18"/>
          <w:szCs w:val="18"/>
          <w:lang w:val="en-US" w:eastAsia="pt-BR"/>
        </w:rPr>
        <w:t>Antioxidant; Ros; Exercise; Training.</w:t>
      </w:r>
      <w:r w:rsidR="00C26F74" w:rsidRPr="004264B1">
        <w:rPr>
          <w:rFonts w:ascii="Arial" w:eastAsia="Times New Roman" w:hAnsi="Arial" w:cs="Arial"/>
          <w:sz w:val="18"/>
          <w:szCs w:val="18"/>
          <w:lang w:val="en-US" w:eastAsia="pt-BR"/>
        </w:rPr>
        <w:t xml:space="preserve"> </w:t>
      </w:r>
    </w:p>
    <w:p w14:paraId="74781AA9" w14:textId="3AC2E311" w:rsidR="00C26F74" w:rsidRPr="00C26F74" w:rsidRDefault="004264B1" w:rsidP="00C26F74">
      <w:pPr>
        <w:spacing w:before="100" w:beforeAutospacing="1" w:after="100" w:afterAutospacing="1" w:line="240" w:lineRule="auto"/>
        <w:jc w:val="both"/>
        <w:rPr>
          <w:rFonts w:ascii="Arial" w:eastAsia="Times New Roman" w:hAnsi="Arial" w:cs="Arial"/>
          <w:sz w:val="20"/>
          <w:szCs w:val="20"/>
          <w:lang w:val="en-US" w:eastAsia="pt-BR"/>
        </w:rPr>
      </w:pPr>
      <w:r w:rsidRPr="004264B1">
        <w:rPr>
          <w:rFonts w:ascii="Arial" w:eastAsia="Times New Roman" w:hAnsi="Arial" w:cs="Arial"/>
          <w:sz w:val="20"/>
          <w:szCs w:val="20"/>
          <w:lang w:val="en-US" w:eastAsia="pt-BR"/>
        </w:rPr>
        <w:t>Acknowledgments:</w:t>
      </w:r>
      <w:r w:rsidR="008D64CA" w:rsidRPr="00C26F74">
        <w:rPr>
          <w:rFonts w:ascii="Arial" w:eastAsia="Times New Roman" w:hAnsi="Arial" w:cs="Arial"/>
          <w:sz w:val="20"/>
          <w:szCs w:val="20"/>
          <w:lang w:val="en-US" w:eastAsia="pt-BR"/>
        </w:rPr>
        <w:t xml:space="preserve"> </w:t>
      </w:r>
      <w:r w:rsidR="00C26F74" w:rsidRPr="00C26F74">
        <w:rPr>
          <w:rFonts w:ascii="Arial" w:eastAsia="Times New Roman" w:hAnsi="Arial" w:cs="Arial"/>
          <w:sz w:val="20"/>
          <w:szCs w:val="20"/>
          <w:lang w:val="en-US" w:eastAsia="pt-BR"/>
        </w:rPr>
        <w:t>I Thank The Espírito Santo Research Support Foundation (</w:t>
      </w:r>
      <w:proofErr w:type="spellStart"/>
      <w:r w:rsidR="00C26F74" w:rsidRPr="00C26F74">
        <w:rPr>
          <w:rFonts w:ascii="Arial" w:eastAsia="Times New Roman" w:hAnsi="Arial" w:cs="Arial"/>
          <w:sz w:val="20"/>
          <w:szCs w:val="20"/>
          <w:lang w:val="en-US" w:eastAsia="pt-BR"/>
        </w:rPr>
        <w:t>Fapes</w:t>
      </w:r>
      <w:proofErr w:type="spellEnd"/>
      <w:r w:rsidR="00C26F74" w:rsidRPr="00C26F74">
        <w:rPr>
          <w:rFonts w:ascii="Arial" w:eastAsia="Times New Roman" w:hAnsi="Arial" w:cs="Arial"/>
          <w:sz w:val="20"/>
          <w:szCs w:val="20"/>
          <w:lang w:val="en-US" w:eastAsia="pt-BR"/>
        </w:rPr>
        <w:t>) For Funding This Study.</w:t>
      </w:r>
    </w:p>
    <w:p w14:paraId="4F032A33" w14:textId="77777777" w:rsidR="00A01489" w:rsidRPr="009C10C5" w:rsidRDefault="00A01489" w:rsidP="00C26F74">
      <w:pPr>
        <w:rPr>
          <w:rFonts w:ascii="Arial" w:hAnsi="Arial" w:cs="Arial"/>
          <w:sz w:val="30"/>
          <w:szCs w:val="30"/>
          <w:lang w:val="en-US"/>
        </w:rPr>
      </w:pPr>
    </w:p>
    <w:p w14:paraId="3462296E" w14:textId="77777777" w:rsidR="00A01489" w:rsidRPr="009C10C5" w:rsidRDefault="00A01489" w:rsidP="00167A03">
      <w:pPr>
        <w:jc w:val="center"/>
        <w:rPr>
          <w:rFonts w:ascii="Arial" w:hAnsi="Arial" w:cs="Arial"/>
          <w:sz w:val="30"/>
          <w:szCs w:val="30"/>
          <w:lang w:val="en-US"/>
        </w:rPr>
      </w:pPr>
    </w:p>
    <w:p w14:paraId="7E500D15" w14:textId="01DE6389" w:rsidR="00A01489" w:rsidRPr="009C10C5" w:rsidRDefault="00A01489" w:rsidP="00167A03">
      <w:pPr>
        <w:jc w:val="center"/>
        <w:rPr>
          <w:rFonts w:ascii="Arial" w:hAnsi="Arial" w:cs="Arial"/>
          <w:sz w:val="30"/>
          <w:szCs w:val="30"/>
          <w:lang w:val="en-US"/>
        </w:rPr>
      </w:pPr>
    </w:p>
    <w:p w14:paraId="4F547F31" w14:textId="77777777" w:rsidR="00A01489" w:rsidRPr="009C10C5" w:rsidRDefault="00A01489" w:rsidP="00167A03">
      <w:pPr>
        <w:jc w:val="center"/>
        <w:rPr>
          <w:rFonts w:ascii="Arial" w:hAnsi="Arial" w:cs="Arial"/>
          <w:sz w:val="30"/>
          <w:szCs w:val="30"/>
          <w:lang w:val="en-US"/>
        </w:rPr>
      </w:pPr>
    </w:p>
    <w:p w14:paraId="28EE6CD7" w14:textId="037239AD" w:rsidR="008D64CA" w:rsidRPr="006D211D" w:rsidRDefault="008D64CA" w:rsidP="006D211D">
      <w:pPr>
        <w:pStyle w:val="Ttulo1"/>
        <w:rPr>
          <w:rFonts w:ascii="Arial" w:eastAsia="Times New Roman" w:hAnsi="Arial" w:cs="Arial"/>
          <w:b/>
          <w:bCs/>
          <w:color w:val="auto"/>
          <w:sz w:val="28"/>
          <w:szCs w:val="28"/>
          <w:lang w:val="en-US" w:eastAsia="pt-BR"/>
        </w:rPr>
      </w:pPr>
      <w:bookmarkStart w:id="4" w:name="_Toc211954561"/>
      <w:r w:rsidRPr="006D211D">
        <w:rPr>
          <w:rFonts w:ascii="Arial" w:eastAsia="Times New Roman" w:hAnsi="Arial" w:cs="Arial"/>
          <w:b/>
          <w:bCs/>
          <w:color w:val="auto"/>
          <w:sz w:val="28"/>
          <w:szCs w:val="28"/>
          <w:lang w:val="en-US" w:eastAsia="pt-BR"/>
        </w:rPr>
        <w:lastRenderedPageBreak/>
        <w:t>Probiotics as Antioxidant Adjuvants in the Treatment of Gastroesophageal Reflux Disease</w:t>
      </w:r>
      <w:bookmarkEnd w:id="4"/>
    </w:p>
    <w:p w14:paraId="5DD24720" w14:textId="48D14F98" w:rsidR="008D64CA" w:rsidRPr="008D64CA" w:rsidRDefault="008D64CA" w:rsidP="008D64CA">
      <w:pPr>
        <w:spacing w:before="100" w:beforeAutospacing="1" w:after="100" w:afterAutospacing="1" w:line="240" w:lineRule="auto"/>
        <w:rPr>
          <w:rFonts w:ascii="Arial" w:eastAsia="Times New Roman" w:hAnsi="Arial" w:cs="Arial"/>
          <w:sz w:val="20"/>
          <w:szCs w:val="20"/>
          <w:lang w:eastAsia="pt-BR"/>
        </w:rPr>
      </w:pPr>
      <w:r w:rsidRPr="008D64CA">
        <w:rPr>
          <w:rFonts w:ascii="Arial" w:eastAsia="Times New Roman" w:hAnsi="Arial" w:cs="Arial"/>
          <w:b/>
          <w:bCs/>
          <w:sz w:val="20"/>
          <w:szCs w:val="20"/>
          <w:lang w:eastAsia="pt-BR"/>
        </w:rPr>
        <w:t>Aureo Paoliello¹, Fernanda Oliveira Antunes¹</w:t>
      </w:r>
      <w:r>
        <w:rPr>
          <w:rFonts w:ascii="Arial" w:eastAsia="Times New Roman" w:hAnsi="Arial" w:cs="Arial"/>
          <w:b/>
          <w:bCs/>
          <w:sz w:val="20"/>
          <w:szCs w:val="20"/>
          <w:lang w:eastAsia="pt-BR"/>
        </w:rPr>
        <w:t>*</w:t>
      </w:r>
      <w:r w:rsidRPr="008D64CA">
        <w:rPr>
          <w:rFonts w:ascii="Arial" w:eastAsia="Times New Roman" w:hAnsi="Arial" w:cs="Arial"/>
          <w:b/>
          <w:bCs/>
          <w:sz w:val="20"/>
          <w:szCs w:val="20"/>
          <w:lang w:eastAsia="pt-BR"/>
        </w:rPr>
        <w:t xml:space="preserve">, Larissa </w:t>
      </w:r>
      <w:proofErr w:type="spellStart"/>
      <w:r w:rsidRPr="008D64CA">
        <w:rPr>
          <w:rFonts w:ascii="Arial" w:eastAsia="Times New Roman" w:hAnsi="Arial" w:cs="Arial"/>
          <w:b/>
          <w:bCs/>
          <w:sz w:val="20"/>
          <w:szCs w:val="20"/>
          <w:lang w:eastAsia="pt-BR"/>
        </w:rPr>
        <w:t>Zambom</w:t>
      </w:r>
      <w:proofErr w:type="spellEnd"/>
      <w:r w:rsidRPr="008D64CA">
        <w:rPr>
          <w:rFonts w:ascii="Arial" w:eastAsia="Times New Roman" w:hAnsi="Arial" w:cs="Arial"/>
          <w:b/>
          <w:bCs/>
          <w:sz w:val="20"/>
          <w:szCs w:val="20"/>
          <w:lang w:eastAsia="pt-BR"/>
        </w:rPr>
        <w:t xml:space="preserve"> Côco², Bianca Prandi Campagnaro¹, Rafaela Aires¹, Thiago de Melo Costa Pereira</w:t>
      </w:r>
      <w:proofErr w:type="gramStart"/>
      <w:r w:rsidRPr="008D64CA">
        <w:rPr>
          <w:rFonts w:ascii="Arial" w:eastAsia="Times New Roman" w:hAnsi="Arial" w:cs="Arial"/>
          <w:b/>
          <w:bCs/>
          <w:sz w:val="20"/>
          <w:szCs w:val="20"/>
          <w:lang w:eastAsia="pt-BR"/>
        </w:rPr>
        <w:t>¹</w:t>
      </w:r>
      <w:r w:rsidRPr="008D64CA">
        <w:rPr>
          <w:rFonts w:ascii="Arial" w:eastAsia="Times New Roman" w:hAnsi="Arial" w:cs="Arial"/>
          <w:b/>
          <w:bCs/>
          <w:sz w:val="20"/>
          <w:szCs w:val="20"/>
          <w:vertAlign w:val="superscript"/>
          <w:lang w:eastAsia="pt-BR"/>
        </w:rPr>
        <w:t>,</w:t>
      </w:r>
      <w:r w:rsidRPr="008D64CA">
        <w:rPr>
          <w:rFonts w:ascii="Arial" w:eastAsia="Times New Roman" w:hAnsi="Arial" w:cs="Arial"/>
          <w:b/>
          <w:bCs/>
          <w:sz w:val="20"/>
          <w:szCs w:val="20"/>
          <w:lang w:eastAsia="pt-BR"/>
        </w:rPr>
        <w:t>²</w:t>
      </w:r>
      <w:proofErr w:type="gramEnd"/>
      <w:r w:rsidR="004264B1">
        <w:rPr>
          <w:rFonts w:ascii="Arial" w:eastAsia="Times New Roman" w:hAnsi="Arial" w:cs="Arial"/>
          <w:b/>
          <w:bCs/>
          <w:sz w:val="20"/>
          <w:szCs w:val="20"/>
          <w:lang w:eastAsia="pt-BR"/>
        </w:rPr>
        <w:t>.</w:t>
      </w:r>
    </w:p>
    <w:p w14:paraId="66FF7A5A" w14:textId="501B662E" w:rsidR="008D64CA" w:rsidRPr="008D64CA" w:rsidRDefault="008D64CA" w:rsidP="008D64CA">
      <w:pPr>
        <w:spacing w:before="100" w:beforeAutospacing="1" w:after="100" w:afterAutospacing="1" w:line="240" w:lineRule="auto"/>
        <w:rPr>
          <w:rFonts w:ascii="Arial" w:eastAsia="Times New Roman" w:hAnsi="Arial" w:cs="Arial"/>
          <w:i/>
          <w:iCs/>
          <w:sz w:val="20"/>
          <w:szCs w:val="20"/>
          <w:lang w:eastAsia="pt-BR"/>
        </w:rPr>
      </w:pPr>
      <w:r w:rsidRPr="008D64CA">
        <w:rPr>
          <w:rFonts w:ascii="Arial" w:eastAsia="Times New Roman" w:hAnsi="Arial" w:cs="Arial"/>
          <w:i/>
          <w:iCs/>
          <w:sz w:val="20"/>
          <w:szCs w:val="20"/>
          <w:lang w:eastAsia="pt-BR"/>
        </w:rPr>
        <w:t>*fernandaantunesfoa@gmail.com</w:t>
      </w:r>
    </w:p>
    <w:p w14:paraId="2C76135B" w14:textId="77777777" w:rsidR="004264B1" w:rsidRPr="004264B1" w:rsidRDefault="008D64CA" w:rsidP="008D64CA">
      <w:pPr>
        <w:spacing w:after="0" w:line="240" w:lineRule="auto"/>
        <w:jc w:val="both"/>
        <w:rPr>
          <w:rFonts w:ascii="Arial" w:eastAsia="Times New Roman" w:hAnsi="Arial" w:cs="Arial"/>
          <w:i/>
          <w:iCs/>
          <w:sz w:val="18"/>
          <w:szCs w:val="18"/>
          <w:lang w:eastAsia="pt-BR"/>
        </w:rPr>
      </w:pPr>
      <w:r w:rsidRPr="008D64CA">
        <w:rPr>
          <w:rFonts w:ascii="Arial" w:eastAsia="Times New Roman" w:hAnsi="Arial" w:cs="Arial"/>
          <w:i/>
          <w:iCs/>
          <w:sz w:val="18"/>
          <w:szCs w:val="18"/>
          <w:lang w:eastAsia="pt-BR"/>
        </w:rPr>
        <w:t xml:space="preserve">¹Universidade de Vila Velha (UVV), Vila Velha, ES, Brasil; </w:t>
      </w:r>
    </w:p>
    <w:p w14:paraId="6E00D806" w14:textId="18D4881A" w:rsidR="008D64CA" w:rsidRPr="004264B1" w:rsidRDefault="008D64CA" w:rsidP="008D64CA">
      <w:pPr>
        <w:spacing w:after="0" w:line="240" w:lineRule="auto"/>
        <w:jc w:val="both"/>
        <w:rPr>
          <w:rFonts w:ascii="Arial" w:eastAsia="Times New Roman" w:hAnsi="Arial" w:cs="Arial"/>
          <w:i/>
          <w:iCs/>
          <w:sz w:val="18"/>
          <w:szCs w:val="18"/>
          <w:lang w:eastAsia="pt-BR"/>
        </w:rPr>
      </w:pPr>
      <w:r w:rsidRPr="008D64CA">
        <w:rPr>
          <w:rFonts w:ascii="Arial" w:eastAsia="Times New Roman" w:hAnsi="Arial" w:cs="Arial"/>
          <w:i/>
          <w:iCs/>
          <w:sz w:val="18"/>
          <w:szCs w:val="18"/>
          <w:lang w:eastAsia="pt-BR"/>
        </w:rPr>
        <w:t>²Instituto Federal do Espírito Santo, Vila Velha, ES, Brasil.</w:t>
      </w:r>
    </w:p>
    <w:p w14:paraId="12B3DA90" w14:textId="77777777" w:rsidR="004264B1" w:rsidRPr="004264B1" w:rsidRDefault="004264B1" w:rsidP="008D64CA">
      <w:pPr>
        <w:spacing w:after="0" w:line="240" w:lineRule="auto"/>
        <w:jc w:val="both"/>
        <w:rPr>
          <w:rFonts w:ascii="Arial" w:eastAsia="Times New Roman" w:hAnsi="Arial" w:cs="Arial"/>
          <w:b/>
          <w:bCs/>
          <w:sz w:val="18"/>
          <w:szCs w:val="18"/>
          <w:lang w:eastAsia="pt-BR"/>
        </w:rPr>
      </w:pPr>
    </w:p>
    <w:p w14:paraId="4C9DB4CB" w14:textId="2D50E026" w:rsidR="008D64CA" w:rsidRPr="009E6ED0" w:rsidRDefault="008D64CA" w:rsidP="008D64CA">
      <w:pPr>
        <w:spacing w:after="0" w:line="240" w:lineRule="auto"/>
        <w:jc w:val="both"/>
        <w:rPr>
          <w:rFonts w:ascii="Arial" w:eastAsia="Times New Roman" w:hAnsi="Arial" w:cs="Arial"/>
          <w:sz w:val="18"/>
          <w:szCs w:val="18"/>
          <w:lang w:val="en-US" w:eastAsia="pt-BR"/>
        </w:rPr>
      </w:pPr>
      <w:r w:rsidRPr="00C26F74">
        <w:rPr>
          <w:rFonts w:ascii="Arial" w:eastAsia="Times New Roman" w:hAnsi="Arial" w:cs="Arial"/>
          <w:b/>
          <w:bCs/>
          <w:sz w:val="18"/>
          <w:szCs w:val="18"/>
          <w:lang w:val="en-US" w:eastAsia="pt-BR"/>
        </w:rPr>
        <w:t>Thematic Session:</w:t>
      </w:r>
      <w:r w:rsidRPr="00C26F74">
        <w:rPr>
          <w:rFonts w:ascii="Arial" w:eastAsia="Times New Roman" w:hAnsi="Arial" w:cs="Arial"/>
          <w:sz w:val="18"/>
          <w:szCs w:val="18"/>
          <w:lang w:val="en-US" w:eastAsia="pt-BR"/>
        </w:rPr>
        <w:t xml:space="preserve"> Pathophysiology and Triggering Factors of Human and Animal Diseases.</w:t>
      </w:r>
    </w:p>
    <w:p w14:paraId="50A24D17" w14:textId="77777777" w:rsidR="008D64CA" w:rsidRDefault="008D64CA" w:rsidP="008D64CA">
      <w:pPr>
        <w:spacing w:before="100" w:beforeAutospacing="1" w:after="100" w:afterAutospacing="1" w:line="240" w:lineRule="auto"/>
        <w:jc w:val="both"/>
        <w:rPr>
          <w:rFonts w:ascii="Arial" w:eastAsia="Times New Roman" w:hAnsi="Arial" w:cs="Arial"/>
          <w:sz w:val="20"/>
          <w:szCs w:val="20"/>
          <w:lang w:val="en-US" w:eastAsia="pt-BR"/>
        </w:rPr>
      </w:pPr>
      <w:r w:rsidRPr="008D64CA">
        <w:rPr>
          <w:rFonts w:ascii="Arial" w:eastAsia="Times New Roman" w:hAnsi="Arial" w:cs="Arial"/>
          <w:b/>
          <w:bCs/>
          <w:sz w:val="20"/>
          <w:szCs w:val="20"/>
          <w:lang w:val="en-US" w:eastAsia="pt-BR"/>
        </w:rPr>
        <w:t>INTRODUCTION:</w:t>
      </w:r>
      <w:r w:rsidRPr="008D64CA">
        <w:rPr>
          <w:rFonts w:ascii="Arial" w:eastAsia="Times New Roman" w:hAnsi="Arial" w:cs="Arial"/>
          <w:sz w:val="20"/>
          <w:szCs w:val="20"/>
          <w:lang w:val="en-US" w:eastAsia="pt-BR"/>
        </w:rPr>
        <w:t xml:space="preserve"> Proton pump inhibitors (PPIs) represent the first-line therapy for gastroesophageal reflux disease (GERD). However, chronic use of these drugs may cause adverse effects, including osteoporosis, vitamin deficiencies, and drug interactions. In GERD patients, probiotic supplementation combined with conventional therapy reduces the frequency of symptoms such as retrosternal heartburn and regurgitation. Nevertheless, the pathophysiological role of the probiotic kefir in GERD remains unclear, which justifies this study that investigated the adjuvant effect of kefir in GERD treatment. </w:t>
      </w:r>
      <w:r w:rsidRPr="008D64CA">
        <w:rPr>
          <w:rFonts w:ascii="Arial" w:eastAsia="Times New Roman" w:hAnsi="Arial" w:cs="Arial"/>
          <w:b/>
          <w:bCs/>
          <w:sz w:val="20"/>
          <w:szCs w:val="20"/>
          <w:lang w:val="en-US" w:eastAsia="pt-BR"/>
        </w:rPr>
        <w:t>OBJECTIVES:</w:t>
      </w:r>
      <w:r w:rsidRPr="008D64CA">
        <w:rPr>
          <w:rFonts w:ascii="Arial" w:eastAsia="Times New Roman" w:hAnsi="Arial" w:cs="Arial"/>
          <w:sz w:val="20"/>
          <w:szCs w:val="20"/>
          <w:lang w:val="en-US" w:eastAsia="pt-BR"/>
        </w:rPr>
        <w:t xml:space="preserve"> To evaluate the effects of kefir as an adjuvant in GERD treatment combined with pantoprazole. </w:t>
      </w:r>
      <w:r w:rsidRPr="008D64CA">
        <w:rPr>
          <w:rFonts w:ascii="Arial" w:eastAsia="Times New Roman" w:hAnsi="Arial" w:cs="Arial"/>
          <w:b/>
          <w:bCs/>
          <w:sz w:val="20"/>
          <w:szCs w:val="20"/>
          <w:lang w:val="en-US" w:eastAsia="pt-BR"/>
        </w:rPr>
        <w:t>METHODS:</w:t>
      </w:r>
      <w:r w:rsidRPr="008D64CA">
        <w:rPr>
          <w:rFonts w:ascii="Arial" w:eastAsia="Times New Roman" w:hAnsi="Arial" w:cs="Arial"/>
          <w:sz w:val="20"/>
          <w:szCs w:val="20"/>
          <w:lang w:val="en-US" w:eastAsia="pt-BR"/>
        </w:rPr>
        <w:t xml:space="preserve"> We included male and female patients aged 18 to 75 years who completed a simplified questionnaire on classic GERD symptoms. The patients were randomized into three groups: pantoprazole alone (40 mg/day; PPI), pantoprazole (40 mg/day) combined with the probiotic PROBID® (PPI + PBT), and pantoprazole (40 mg/day) combined with kefir (Active Kefir®; PPI + KEF). Patients received treatment daily for 90 days. At baseline (day 0) and after 90 days, we evaluated: the degree of esophagitis using the Los Angeles Classification, quality of life, symptoms, biochemical markers, protein oxidation, lipid peroxidation, and systemic oxidative stress. We set the significance level at p&lt;0.05. The Ethics Committee of Vila Velha University approved the study (protocol no. 6.143.451). </w:t>
      </w:r>
      <w:r w:rsidRPr="008D64CA">
        <w:rPr>
          <w:rFonts w:ascii="Arial" w:eastAsia="Times New Roman" w:hAnsi="Arial" w:cs="Arial"/>
          <w:b/>
          <w:bCs/>
          <w:sz w:val="20"/>
          <w:szCs w:val="20"/>
          <w:lang w:val="en-US" w:eastAsia="pt-BR"/>
        </w:rPr>
        <w:t>RESULTS AND DISCUSSION:</w:t>
      </w:r>
      <w:r w:rsidRPr="008D64CA">
        <w:rPr>
          <w:rFonts w:ascii="Arial" w:eastAsia="Times New Roman" w:hAnsi="Arial" w:cs="Arial"/>
          <w:sz w:val="20"/>
          <w:szCs w:val="20"/>
          <w:lang w:val="en-US" w:eastAsia="pt-BR"/>
        </w:rPr>
        <w:t xml:space="preserve"> After 90 days, adjuvant therapy with PROBID® or kefir reduced esophageal damage (p&lt;0.05). However, only the kefir group showed significant improvement in heartburn and a consequent positive impact on quality of life (p&lt;0.05). Moreover, probiotic-treated groups exhibited systemic reductions in oxidative stress, evidenced by lower levels of ROS (p&lt;0.05), protein oxidation (p&lt;0.05), and lipid peroxidation (p&lt;0.05). Several studies investigating the combination of probiotics with PPIs have reported results consistent with the present findings, demonstrating a reduction in the frequency and severity of GERD symptoms, such as heartburn and regurgitation, and consequently an overall improvement in quality of life. </w:t>
      </w:r>
      <w:r w:rsidRPr="008D64CA">
        <w:rPr>
          <w:rFonts w:ascii="Arial" w:eastAsia="Times New Roman" w:hAnsi="Arial" w:cs="Arial"/>
          <w:b/>
          <w:bCs/>
          <w:sz w:val="20"/>
          <w:szCs w:val="20"/>
          <w:lang w:val="en-US" w:eastAsia="pt-BR"/>
        </w:rPr>
        <w:t>CONCLUSION:</w:t>
      </w:r>
      <w:r w:rsidRPr="008D64CA">
        <w:rPr>
          <w:rFonts w:ascii="Arial" w:eastAsia="Times New Roman" w:hAnsi="Arial" w:cs="Arial"/>
          <w:sz w:val="20"/>
          <w:szCs w:val="20"/>
          <w:lang w:val="en-US" w:eastAsia="pt-BR"/>
        </w:rPr>
        <w:t xml:space="preserve"> Combined administration of pantoprazole with probiotics produced superior effects compared to PPI monotherapy in GERD. Furthermore, these novel findings suggest that probiotic supplementation, particularly kefir, exerts antioxidant effects and may represent a new therapeutic strategy for managing the disease. </w:t>
      </w:r>
    </w:p>
    <w:p w14:paraId="7025059E" w14:textId="17832D82" w:rsidR="008D64CA" w:rsidRPr="008D64CA" w:rsidRDefault="004264B1" w:rsidP="008D64CA">
      <w:pPr>
        <w:spacing w:before="100" w:beforeAutospacing="1" w:after="100" w:afterAutospacing="1" w:line="240" w:lineRule="auto"/>
        <w:jc w:val="both"/>
        <w:rPr>
          <w:rFonts w:ascii="Arial" w:eastAsia="Times New Roman" w:hAnsi="Arial" w:cs="Arial"/>
          <w:i/>
          <w:iCs/>
          <w:sz w:val="20"/>
          <w:szCs w:val="20"/>
          <w:lang w:val="en-US" w:eastAsia="pt-BR"/>
        </w:rPr>
      </w:pPr>
      <w:r w:rsidRPr="004264B1">
        <w:rPr>
          <w:rFonts w:ascii="Arial" w:eastAsia="Times New Roman" w:hAnsi="Arial" w:cs="Arial"/>
          <w:sz w:val="20"/>
          <w:szCs w:val="20"/>
          <w:lang w:val="en-US" w:eastAsia="pt-BR"/>
        </w:rPr>
        <w:t>Keywords:</w:t>
      </w:r>
      <w:r w:rsidR="008D64CA" w:rsidRPr="008D64CA">
        <w:rPr>
          <w:rFonts w:ascii="Arial" w:eastAsia="Times New Roman" w:hAnsi="Arial" w:cs="Arial"/>
          <w:sz w:val="20"/>
          <w:szCs w:val="20"/>
          <w:lang w:val="en-US" w:eastAsia="pt-BR"/>
        </w:rPr>
        <w:t xml:space="preserve"> </w:t>
      </w:r>
      <w:r w:rsidR="008D64CA" w:rsidRPr="008D64CA">
        <w:rPr>
          <w:rFonts w:ascii="Arial" w:eastAsia="Times New Roman" w:hAnsi="Arial" w:cs="Arial"/>
          <w:i/>
          <w:iCs/>
          <w:sz w:val="20"/>
          <w:szCs w:val="20"/>
          <w:lang w:val="en-US" w:eastAsia="pt-BR"/>
        </w:rPr>
        <w:t xml:space="preserve">Gut microbiota; Dysbiosis; Reactive oxygen species; Antioxidant enzymes; Nutritional therapy. </w:t>
      </w:r>
    </w:p>
    <w:p w14:paraId="395160B7" w14:textId="047C3D86" w:rsidR="008D64CA" w:rsidRPr="008D64CA" w:rsidRDefault="004264B1" w:rsidP="008D64CA">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D64CA">
        <w:rPr>
          <w:rFonts w:ascii="Arial" w:eastAsia="Times New Roman" w:hAnsi="Arial" w:cs="Arial"/>
          <w:sz w:val="20"/>
          <w:szCs w:val="20"/>
          <w:lang w:val="en-US" w:eastAsia="pt-BR"/>
        </w:rPr>
        <w:t>Acknowledgment:</w:t>
      </w:r>
      <w:r w:rsidR="008D64CA" w:rsidRPr="008D64CA">
        <w:rPr>
          <w:rFonts w:ascii="Arial" w:eastAsia="Times New Roman" w:hAnsi="Arial" w:cs="Arial"/>
          <w:sz w:val="20"/>
          <w:szCs w:val="20"/>
          <w:lang w:val="en-US" w:eastAsia="pt-BR"/>
        </w:rPr>
        <w:t xml:space="preserve"> UVV, PPGCF-UVV, FAPES</w:t>
      </w:r>
      <w:r w:rsidR="008D64CA" w:rsidRPr="008D64CA">
        <w:rPr>
          <w:rFonts w:ascii="Times New Roman" w:eastAsia="Times New Roman" w:hAnsi="Times New Roman" w:cs="Times New Roman"/>
          <w:sz w:val="24"/>
          <w:szCs w:val="24"/>
          <w:lang w:val="en-US" w:eastAsia="pt-BR"/>
        </w:rPr>
        <w:t>.</w:t>
      </w:r>
    </w:p>
    <w:p w14:paraId="5CFB87D3" w14:textId="77777777" w:rsidR="00A01489" w:rsidRPr="009C10C5" w:rsidRDefault="00A01489" w:rsidP="008D64CA">
      <w:pPr>
        <w:jc w:val="both"/>
        <w:rPr>
          <w:rFonts w:ascii="Arial" w:hAnsi="Arial" w:cs="Arial"/>
          <w:sz w:val="30"/>
          <w:szCs w:val="30"/>
          <w:lang w:val="en-US"/>
        </w:rPr>
      </w:pPr>
    </w:p>
    <w:p w14:paraId="05E554E9" w14:textId="77777777" w:rsidR="00A01489" w:rsidRPr="009C10C5" w:rsidRDefault="00A01489" w:rsidP="008D64CA">
      <w:pPr>
        <w:jc w:val="both"/>
        <w:rPr>
          <w:rFonts w:ascii="Arial" w:hAnsi="Arial" w:cs="Arial"/>
          <w:sz w:val="30"/>
          <w:szCs w:val="30"/>
          <w:lang w:val="en-US"/>
        </w:rPr>
      </w:pPr>
    </w:p>
    <w:p w14:paraId="261BF102" w14:textId="77777777" w:rsidR="00A01489" w:rsidRPr="009C10C5" w:rsidRDefault="00A01489" w:rsidP="008D64CA">
      <w:pPr>
        <w:jc w:val="both"/>
        <w:rPr>
          <w:rFonts w:ascii="Arial" w:hAnsi="Arial" w:cs="Arial"/>
          <w:sz w:val="30"/>
          <w:szCs w:val="30"/>
          <w:lang w:val="en-US"/>
        </w:rPr>
      </w:pPr>
    </w:p>
    <w:p w14:paraId="3C486BEC" w14:textId="77777777" w:rsidR="00A01489" w:rsidRPr="009C10C5" w:rsidRDefault="00A01489" w:rsidP="00167A03">
      <w:pPr>
        <w:jc w:val="center"/>
        <w:rPr>
          <w:rFonts w:ascii="Arial" w:hAnsi="Arial" w:cs="Arial"/>
          <w:sz w:val="30"/>
          <w:szCs w:val="30"/>
          <w:lang w:val="en-US"/>
        </w:rPr>
      </w:pPr>
    </w:p>
    <w:p w14:paraId="41367EE8" w14:textId="77777777" w:rsidR="00A01489" w:rsidRPr="009C10C5" w:rsidRDefault="00A01489" w:rsidP="00167A03">
      <w:pPr>
        <w:jc w:val="center"/>
        <w:rPr>
          <w:rFonts w:ascii="Arial" w:hAnsi="Arial" w:cs="Arial"/>
          <w:sz w:val="30"/>
          <w:szCs w:val="30"/>
          <w:lang w:val="en-US"/>
        </w:rPr>
      </w:pPr>
    </w:p>
    <w:p w14:paraId="75DB19C2" w14:textId="1164DC01" w:rsidR="008D64CA" w:rsidRPr="006D211D" w:rsidRDefault="008D64CA" w:rsidP="006D211D">
      <w:pPr>
        <w:pStyle w:val="Ttulo1"/>
        <w:rPr>
          <w:rFonts w:ascii="Arial" w:eastAsia="Times New Roman" w:hAnsi="Arial" w:cs="Arial"/>
          <w:b/>
          <w:bCs/>
          <w:color w:val="auto"/>
          <w:sz w:val="26"/>
          <w:szCs w:val="26"/>
          <w:lang w:val="en-US" w:eastAsia="pt-BR"/>
        </w:rPr>
      </w:pPr>
      <w:bookmarkStart w:id="5" w:name="_Toc211954562"/>
      <w:r w:rsidRPr="006D211D">
        <w:rPr>
          <w:rFonts w:ascii="Arial" w:eastAsia="Times New Roman" w:hAnsi="Arial" w:cs="Arial"/>
          <w:b/>
          <w:bCs/>
          <w:color w:val="auto"/>
          <w:sz w:val="26"/>
          <w:szCs w:val="26"/>
          <w:lang w:val="en-US" w:eastAsia="pt-BR"/>
        </w:rPr>
        <w:lastRenderedPageBreak/>
        <w:t xml:space="preserve">Optimization of </w:t>
      </w:r>
      <w:proofErr w:type="spellStart"/>
      <w:r w:rsidRPr="006D211D">
        <w:rPr>
          <w:rFonts w:ascii="Arial" w:eastAsia="Times New Roman" w:hAnsi="Arial" w:cs="Arial"/>
          <w:b/>
          <w:bCs/>
          <w:color w:val="auto"/>
          <w:sz w:val="26"/>
          <w:szCs w:val="26"/>
          <w:lang w:val="en-US" w:eastAsia="pt-BR"/>
        </w:rPr>
        <w:t>Jabuticaba</w:t>
      </w:r>
      <w:proofErr w:type="spellEnd"/>
      <w:r w:rsidRPr="006D211D">
        <w:rPr>
          <w:rFonts w:ascii="Arial" w:eastAsia="Times New Roman" w:hAnsi="Arial" w:cs="Arial"/>
          <w:b/>
          <w:bCs/>
          <w:color w:val="auto"/>
          <w:sz w:val="26"/>
          <w:szCs w:val="26"/>
          <w:lang w:val="en-US" w:eastAsia="pt-BR"/>
        </w:rPr>
        <w:t xml:space="preserve"> (</w:t>
      </w:r>
      <w:r w:rsidRPr="006D211D">
        <w:rPr>
          <w:rFonts w:ascii="Arial" w:eastAsia="Times New Roman" w:hAnsi="Arial" w:cs="Arial"/>
          <w:b/>
          <w:bCs/>
          <w:i/>
          <w:iCs/>
          <w:color w:val="auto"/>
          <w:sz w:val="26"/>
          <w:szCs w:val="26"/>
          <w:lang w:val="en-US" w:eastAsia="pt-BR"/>
        </w:rPr>
        <w:t xml:space="preserve">Plinia </w:t>
      </w:r>
      <w:proofErr w:type="spellStart"/>
      <w:r w:rsidRPr="006D211D">
        <w:rPr>
          <w:rFonts w:ascii="Arial" w:eastAsia="Times New Roman" w:hAnsi="Arial" w:cs="Arial"/>
          <w:b/>
          <w:bCs/>
          <w:i/>
          <w:iCs/>
          <w:color w:val="auto"/>
          <w:sz w:val="26"/>
          <w:szCs w:val="26"/>
          <w:lang w:val="en-US" w:eastAsia="pt-BR"/>
        </w:rPr>
        <w:t>cauliflora</w:t>
      </w:r>
      <w:proofErr w:type="spellEnd"/>
      <w:r w:rsidRPr="006D211D">
        <w:rPr>
          <w:rFonts w:ascii="Arial" w:eastAsia="Times New Roman" w:hAnsi="Arial" w:cs="Arial"/>
          <w:b/>
          <w:bCs/>
          <w:color w:val="auto"/>
          <w:sz w:val="26"/>
          <w:szCs w:val="26"/>
          <w:lang w:val="en-US" w:eastAsia="pt-BR"/>
        </w:rPr>
        <w:t>) Peel Extract: Bioactive Profile and Antioxidant Activity for Melasma Application</w:t>
      </w:r>
      <w:bookmarkEnd w:id="5"/>
    </w:p>
    <w:p w14:paraId="71781219" w14:textId="4ADFFD89" w:rsidR="008D64CA" w:rsidRPr="008D64CA" w:rsidRDefault="008D64CA" w:rsidP="008D64CA">
      <w:pPr>
        <w:spacing w:before="100" w:beforeAutospacing="1" w:after="100" w:afterAutospacing="1" w:line="240" w:lineRule="auto"/>
        <w:jc w:val="both"/>
        <w:rPr>
          <w:rFonts w:ascii="Arial" w:eastAsia="Times New Roman" w:hAnsi="Arial" w:cs="Arial"/>
          <w:sz w:val="20"/>
          <w:szCs w:val="20"/>
          <w:lang w:eastAsia="pt-BR"/>
        </w:rPr>
      </w:pPr>
      <w:r w:rsidRPr="008D64CA">
        <w:rPr>
          <w:rFonts w:ascii="Arial" w:eastAsia="Times New Roman" w:hAnsi="Arial" w:cs="Arial"/>
          <w:b/>
          <w:bCs/>
          <w:sz w:val="20"/>
          <w:szCs w:val="20"/>
          <w:lang w:eastAsia="pt-BR"/>
        </w:rPr>
        <w:t>Gabriela Aquino Simões¹</w:t>
      </w:r>
      <w:r>
        <w:rPr>
          <w:rFonts w:ascii="Arial" w:eastAsia="Times New Roman" w:hAnsi="Arial" w:cs="Arial"/>
          <w:b/>
          <w:bCs/>
          <w:sz w:val="20"/>
          <w:szCs w:val="20"/>
          <w:lang w:eastAsia="pt-BR"/>
        </w:rPr>
        <w:t>*</w:t>
      </w:r>
      <w:r w:rsidRPr="008D64CA">
        <w:rPr>
          <w:rFonts w:ascii="Arial" w:eastAsia="Times New Roman" w:hAnsi="Arial" w:cs="Arial"/>
          <w:b/>
          <w:bCs/>
          <w:sz w:val="20"/>
          <w:szCs w:val="20"/>
          <w:lang w:eastAsia="pt-BR"/>
        </w:rPr>
        <w:t>; José Augusto Almeida Nunes²; Marcio Fronza¹</w:t>
      </w:r>
      <w:r w:rsidR="009E6ED0">
        <w:rPr>
          <w:rFonts w:ascii="Arial" w:eastAsia="Times New Roman" w:hAnsi="Arial" w:cs="Arial"/>
          <w:b/>
          <w:bCs/>
          <w:sz w:val="20"/>
          <w:szCs w:val="20"/>
          <w:lang w:eastAsia="pt-BR"/>
        </w:rPr>
        <w:t>.</w:t>
      </w:r>
    </w:p>
    <w:p w14:paraId="6BF00900" w14:textId="4ADDD133" w:rsidR="00052885" w:rsidRPr="008D64CA" w:rsidRDefault="008D64CA" w:rsidP="008D64CA">
      <w:pPr>
        <w:spacing w:before="100" w:beforeAutospacing="1" w:after="100" w:afterAutospacing="1" w:line="240" w:lineRule="auto"/>
        <w:jc w:val="both"/>
        <w:rPr>
          <w:rFonts w:ascii="Arial" w:eastAsia="Times New Roman" w:hAnsi="Arial" w:cs="Arial"/>
          <w:i/>
          <w:iCs/>
          <w:sz w:val="20"/>
          <w:szCs w:val="20"/>
          <w:lang w:eastAsia="pt-BR"/>
        </w:rPr>
      </w:pPr>
      <w:r w:rsidRPr="008D64CA">
        <w:rPr>
          <w:rFonts w:ascii="Arial" w:eastAsia="Times New Roman" w:hAnsi="Arial" w:cs="Arial"/>
          <w:i/>
          <w:iCs/>
          <w:sz w:val="20"/>
          <w:szCs w:val="20"/>
          <w:lang w:eastAsia="pt-BR"/>
        </w:rPr>
        <w:t>*gabriela-a-simoes@hotmail.com</w:t>
      </w:r>
    </w:p>
    <w:p w14:paraId="6E3970B3" w14:textId="77777777" w:rsidR="008D64CA" w:rsidRPr="00052885" w:rsidRDefault="008D64CA" w:rsidP="008D64CA">
      <w:pPr>
        <w:spacing w:after="0" w:line="240" w:lineRule="auto"/>
        <w:jc w:val="both"/>
        <w:rPr>
          <w:rFonts w:ascii="Arial" w:eastAsia="Times New Roman" w:hAnsi="Arial" w:cs="Arial"/>
          <w:i/>
          <w:iCs/>
          <w:sz w:val="18"/>
          <w:szCs w:val="18"/>
          <w:lang w:eastAsia="pt-BR"/>
        </w:rPr>
      </w:pPr>
      <w:r w:rsidRPr="008D64CA">
        <w:rPr>
          <w:rFonts w:ascii="Arial" w:eastAsia="Times New Roman" w:hAnsi="Arial" w:cs="Arial"/>
          <w:i/>
          <w:iCs/>
          <w:sz w:val="18"/>
          <w:szCs w:val="18"/>
          <w:lang w:eastAsia="pt-BR"/>
        </w:rPr>
        <w:t xml:space="preserve">¹Graduate </w:t>
      </w:r>
      <w:proofErr w:type="spellStart"/>
      <w:r w:rsidRPr="008D64CA">
        <w:rPr>
          <w:rFonts w:ascii="Arial" w:eastAsia="Times New Roman" w:hAnsi="Arial" w:cs="Arial"/>
          <w:i/>
          <w:iCs/>
          <w:sz w:val="18"/>
          <w:szCs w:val="18"/>
          <w:lang w:eastAsia="pt-BR"/>
        </w:rPr>
        <w:t>Program</w:t>
      </w:r>
      <w:proofErr w:type="spellEnd"/>
      <w:r w:rsidRPr="008D64CA">
        <w:rPr>
          <w:rFonts w:ascii="Arial" w:eastAsia="Times New Roman" w:hAnsi="Arial" w:cs="Arial"/>
          <w:i/>
          <w:iCs/>
          <w:sz w:val="18"/>
          <w:szCs w:val="18"/>
          <w:lang w:eastAsia="pt-BR"/>
        </w:rPr>
        <w:t xml:space="preserve"> in Pharmaceutical </w:t>
      </w:r>
      <w:proofErr w:type="spellStart"/>
      <w:r w:rsidRPr="008D64CA">
        <w:rPr>
          <w:rFonts w:ascii="Arial" w:eastAsia="Times New Roman" w:hAnsi="Arial" w:cs="Arial"/>
          <w:i/>
          <w:iCs/>
          <w:sz w:val="18"/>
          <w:szCs w:val="18"/>
          <w:lang w:eastAsia="pt-BR"/>
        </w:rPr>
        <w:t>Sciences</w:t>
      </w:r>
      <w:proofErr w:type="spellEnd"/>
      <w:r w:rsidRPr="008D64CA">
        <w:rPr>
          <w:rFonts w:ascii="Arial" w:eastAsia="Times New Roman" w:hAnsi="Arial" w:cs="Arial"/>
          <w:i/>
          <w:iCs/>
          <w:sz w:val="18"/>
          <w:szCs w:val="18"/>
          <w:lang w:eastAsia="pt-BR"/>
        </w:rPr>
        <w:t xml:space="preserve">, </w:t>
      </w:r>
      <w:proofErr w:type="spellStart"/>
      <w:r w:rsidRPr="008D64CA">
        <w:rPr>
          <w:rFonts w:ascii="Arial" w:eastAsia="Times New Roman" w:hAnsi="Arial" w:cs="Arial"/>
          <w:i/>
          <w:iCs/>
          <w:sz w:val="18"/>
          <w:szCs w:val="18"/>
          <w:lang w:eastAsia="pt-BR"/>
        </w:rPr>
        <w:t>University</w:t>
      </w:r>
      <w:proofErr w:type="spellEnd"/>
      <w:r w:rsidRPr="008D64CA">
        <w:rPr>
          <w:rFonts w:ascii="Arial" w:eastAsia="Times New Roman" w:hAnsi="Arial" w:cs="Arial"/>
          <w:i/>
          <w:iCs/>
          <w:sz w:val="18"/>
          <w:szCs w:val="18"/>
          <w:lang w:eastAsia="pt-BR"/>
        </w:rPr>
        <w:t xml:space="preserve"> Vila Velha; </w:t>
      </w:r>
    </w:p>
    <w:p w14:paraId="015F015E" w14:textId="208D77CB" w:rsidR="008D64CA" w:rsidRPr="008D64CA" w:rsidRDefault="008D64CA" w:rsidP="008D64CA">
      <w:pPr>
        <w:spacing w:after="0" w:line="240" w:lineRule="auto"/>
        <w:jc w:val="both"/>
        <w:rPr>
          <w:rFonts w:ascii="Arial" w:eastAsia="Times New Roman" w:hAnsi="Arial" w:cs="Arial"/>
          <w:i/>
          <w:iCs/>
          <w:sz w:val="18"/>
          <w:szCs w:val="18"/>
          <w:lang w:val="en-US" w:eastAsia="pt-BR"/>
        </w:rPr>
      </w:pPr>
      <w:r w:rsidRPr="008D64CA">
        <w:rPr>
          <w:rFonts w:ascii="Arial" w:eastAsia="Times New Roman" w:hAnsi="Arial" w:cs="Arial"/>
          <w:i/>
          <w:iCs/>
          <w:sz w:val="18"/>
          <w:szCs w:val="18"/>
          <w:lang w:val="en-US" w:eastAsia="pt-BR"/>
        </w:rPr>
        <w:t>²Undergraduate Program in Pharmacy, University Vila Velha</w:t>
      </w:r>
    </w:p>
    <w:p w14:paraId="231D6AD1" w14:textId="7B2031E4" w:rsidR="008D64CA" w:rsidRPr="009E6ED0" w:rsidRDefault="009E6ED0" w:rsidP="009E6ED0">
      <w:pPr>
        <w:spacing w:before="100" w:beforeAutospacing="1" w:after="100" w:afterAutospacing="1" w:line="240" w:lineRule="auto"/>
        <w:jc w:val="both"/>
        <w:rPr>
          <w:rFonts w:ascii="Arial" w:eastAsia="Times New Roman" w:hAnsi="Arial" w:cs="Arial"/>
          <w:sz w:val="18"/>
          <w:szCs w:val="18"/>
          <w:lang w:val="en-US" w:eastAsia="pt-BR"/>
        </w:rPr>
      </w:pPr>
      <w:r w:rsidRPr="004264B1">
        <w:rPr>
          <w:rFonts w:ascii="Arial" w:eastAsia="Times New Roman" w:hAnsi="Arial" w:cs="Arial"/>
          <w:b/>
          <w:bCs/>
          <w:sz w:val="18"/>
          <w:szCs w:val="18"/>
          <w:lang w:val="en-US" w:eastAsia="pt-BR"/>
        </w:rPr>
        <w:t>Thematic Session:</w:t>
      </w:r>
      <w:r w:rsidRPr="004264B1">
        <w:rPr>
          <w:rFonts w:ascii="Arial" w:eastAsia="Times New Roman" w:hAnsi="Arial" w:cs="Arial"/>
          <w:sz w:val="18"/>
          <w:szCs w:val="18"/>
          <w:lang w:val="en-US" w:eastAsia="pt-BR"/>
        </w:rPr>
        <w:t xml:space="preserve"> Natural Products: Chemical, Biological, and Application Aspects.</w:t>
      </w:r>
    </w:p>
    <w:p w14:paraId="7DE14187" w14:textId="6897D042" w:rsidR="008D64CA" w:rsidRPr="008D64CA" w:rsidRDefault="008D64CA" w:rsidP="008D64CA">
      <w:pPr>
        <w:spacing w:after="0" w:line="240" w:lineRule="auto"/>
        <w:jc w:val="both"/>
        <w:rPr>
          <w:rFonts w:ascii="Arial" w:eastAsia="Times New Roman" w:hAnsi="Arial" w:cs="Arial"/>
          <w:sz w:val="20"/>
          <w:szCs w:val="20"/>
          <w:lang w:eastAsia="pt-BR"/>
        </w:rPr>
      </w:pPr>
      <w:r w:rsidRPr="008D64CA">
        <w:rPr>
          <w:rFonts w:ascii="Arial" w:eastAsia="Times New Roman" w:hAnsi="Arial" w:cs="Arial"/>
          <w:b/>
          <w:bCs/>
          <w:sz w:val="20"/>
          <w:szCs w:val="20"/>
          <w:lang w:val="en-US" w:eastAsia="pt-BR"/>
        </w:rPr>
        <w:t>INTRODUCTION:</w:t>
      </w:r>
      <w:r w:rsidRPr="008D64CA">
        <w:rPr>
          <w:rFonts w:ascii="Arial" w:eastAsia="Times New Roman" w:hAnsi="Arial" w:cs="Arial"/>
          <w:sz w:val="20"/>
          <w:szCs w:val="20"/>
          <w:lang w:val="en-US" w:eastAsia="pt-BR"/>
        </w:rPr>
        <w:t xml:space="preserve"> Melasma, a </w:t>
      </w:r>
      <w:proofErr w:type="spellStart"/>
      <w:r w:rsidRPr="008D64CA">
        <w:rPr>
          <w:rFonts w:ascii="Arial" w:eastAsia="Times New Roman" w:hAnsi="Arial" w:cs="Arial"/>
          <w:sz w:val="20"/>
          <w:szCs w:val="20"/>
          <w:lang w:val="en-US" w:eastAsia="pt-BR"/>
        </w:rPr>
        <w:t>hypermelanotic</w:t>
      </w:r>
      <w:proofErr w:type="spellEnd"/>
      <w:r w:rsidRPr="008D64CA">
        <w:rPr>
          <w:rFonts w:ascii="Arial" w:eastAsia="Times New Roman" w:hAnsi="Arial" w:cs="Arial"/>
          <w:sz w:val="20"/>
          <w:szCs w:val="20"/>
          <w:lang w:val="en-US" w:eastAsia="pt-BR"/>
        </w:rPr>
        <w:t xml:space="preserve"> cutaneous dyschromia with multifactorial etiology and high prevalence, especially in populations exposed to intense solar radiation, represents a significant therapeutic challenge and impacts individuals’ quality of life. The search for effective and safe treatment alternatives has directed research toward natural products with antioxidant and skin-lightening properties. The </w:t>
      </w:r>
      <w:proofErr w:type="spellStart"/>
      <w:r w:rsidRPr="008D64CA">
        <w:rPr>
          <w:rFonts w:ascii="Arial" w:eastAsia="Times New Roman" w:hAnsi="Arial" w:cs="Arial"/>
          <w:sz w:val="20"/>
          <w:szCs w:val="20"/>
          <w:lang w:val="en-US" w:eastAsia="pt-BR"/>
        </w:rPr>
        <w:t>jabuticaba</w:t>
      </w:r>
      <w:proofErr w:type="spellEnd"/>
      <w:r w:rsidRPr="008D64CA">
        <w:rPr>
          <w:rFonts w:ascii="Arial" w:eastAsia="Times New Roman" w:hAnsi="Arial" w:cs="Arial"/>
          <w:sz w:val="20"/>
          <w:szCs w:val="20"/>
          <w:lang w:val="en-US" w:eastAsia="pt-BR"/>
        </w:rPr>
        <w:t xml:space="preserve"> (</w:t>
      </w:r>
      <w:r w:rsidRPr="008D64CA">
        <w:rPr>
          <w:rFonts w:ascii="Arial" w:eastAsia="Times New Roman" w:hAnsi="Arial" w:cs="Arial"/>
          <w:i/>
          <w:iCs/>
          <w:sz w:val="20"/>
          <w:szCs w:val="20"/>
          <w:lang w:val="en-US" w:eastAsia="pt-BR"/>
        </w:rPr>
        <w:t xml:space="preserve">Plinia </w:t>
      </w:r>
      <w:proofErr w:type="spellStart"/>
      <w:r w:rsidRPr="008D64CA">
        <w:rPr>
          <w:rFonts w:ascii="Arial" w:eastAsia="Times New Roman" w:hAnsi="Arial" w:cs="Arial"/>
          <w:i/>
          <w:iCs/>
          <w:sz w:val="20"/>
          <w:szCs w:val="20"/>
          <w:lang w:val="en-US" w:eastAsia="pt-BR"/>
        </w:rPr>
        <w:t>cauliflora</w:t>
      </w:r>
      <w:proofErr w:type="spellEnd"/>
      <w:r w:rsidRPr="008D64CA">
        <w:rPr>
          <w:rFonts w:ascii="Arial" w:eastAsia="Times New Roman" w:hAnsi="Arial" w:cs="Arial"/>
          <w:sz w:val="20"/>
          <w:szCs w:val="20"/>
          <w:lang w:val="en-US" w:eastAsia="pt-BR"/>
        </w:rPr>
        <w:t xml:space="preserve">) peel, a native Brazilian fruit, stands out as a promising source of secondary metabolites, such as anthocyanins, flavonoids, and polyphenols, recognized for their antioxidant and anti-inflammatory potential. Optimizing the extraction of these compounds is a fundamental step for the development of innovative dermo-cosmetic formulations, maximizing the recovery of bioactive compounds with relevant biological activity for melasma treatment. </w:t>
      </w:r>
      <w:r w:rsidRPr="008D64CA">
        <w:rPr>
          <w:rFonts w:ascii="Arial" w:eastAsia="Times New Roman" w:hAnsi="Arial" w:cs="Arial"/>
          <w:b/>
          <w:bCs/>
          <w:sz w:val="20"/>
          <w:szCs w:val="20"/>
          <w:lang w:val="en-US" w:eastAsia="pt-BR"/>
        </w:rPr>
        <w:t>OBJECTIVE:</w:t>
      </w:r>
      <w:r w:rsidRPr="008D64CA">
        <w:rPr>
          <w:rFonts w:ascii="Arial" w:eastAsia="Times New Roman" w:hAnsi="Arial" w:cs="Arial"/>
          <w:sz w:val="20"/>
          <w:szCs w:val="20"/>
          <w:lang w:val="en-US" w:eastAsia="pt-BR"/>
        </w:rPr>
        <w:t xml:space="preserve"> This study aimed to optimize the extraction process of bioactive compounds from </w:t>
      </w:r>
      <w:proofErr w:type="spellStart"/>
      <w:r w:rsidRPr="008D64CA">
        <w:rPr>
          <w:rFonts w:ascii="Arial" w:eastAsia="Times New Roman" w:hAnsi="Arial" w:cs="Arial"/>
          <w:sz w:val="20"/>
          <w:szCs w:val="20"/>
          <w:lang w:val="en-US" w:eastAsia="pt-BR"/>
        </w:rPr>
        <w:t>jabuticaba</w:t>
      </w:r>
      <w:proofErr w:type="spellEnd"/>
      <w:r w:rsidRPr="008D64CA">
        <w:rPr>
          <w:rFonts w:ascii="Arial" w:eastAsia="Times New Roman" w:hAnsi="Arial" w:cs="Arial"/>
          <w:sz w:val="20"/>
          <w:szCs w:val="20"/>
          <w:lang w:val="en-US" w:eastAsia="pt-BR"/>
        </w:rPr>
        <w:t xml:space="preserve"> peel, comparatively evaluating the ability of different solvent systems to recover polyphenols, flavonoids, and anthocyanins, as well as the antioxidant activity of the obtained extracts. The goal was to identify the most promising solvent system for obtaining an extract to be incorporated into a future liposomal formulation for melasma lightening. </w:t>
      </w:r>
      <w:r w:rsidRPr="008D64CA">
        <w:rPr>
          <w:rFonts w:ascii="Arial" w:eastAsia="Times New Roman" w:hAnsi="Arial" w:cs="Arial"/>
          <w:b/>
          <w:bCs/>
          <w:sz w:val="20"/>
          <w:szCs w:val="20"/>
          <w:lang w:val="en-US" w:eastAsia="pt-BR"/>
        </w:rPr>
        <w:t>METHODOLOGY:</w:t>
      </w:r>
      <w:r w:rsidRPr="008D64CA">
        <w:rPr>
          <w:rFonts w:ascii="Arial" w:eastAsia="Times New Roman" w:hAnsi="Arial" w:cs="Arial"/>
          <w:sz w:val="20"/>
          <w:szCs w:val="20"/>
          <w:lang w:val="en-US" w:eastAsia="pt-BR"/>
        </w:rPr>
        <w:t xml:space="preserve"> Lyophilized </w:t>
      </w:r>
      <w:proofErr w:type="spellStart"/>
      <w:r w:rsidRPr="008D64CA">
        <w:rPr>
          <w:rFonts w:ascii="Arial" w:eastAsia="Times New Roman" w:hAnsi="Arial" w:cs="Arial"/>
          <w:sz w:val="20"/>
          <w:szCs w:val="20"/>
          <w:lang w:val="en-US" w:eastAsia="pt-BR"/>
        </w:rPr>
        <w:t>jabuticaba</w:t>
      </w:r>
      <w:proofErr w:type="spellEnd"/>
      <w:r w:rsidRPr="008D64CA">
        <w:rPr>
          <w:rFonts w:ascii="Arial" w:eastAsia="Times New Roman" w:hAnsi="Arial" w:cs="Arial"/>
          <w:sz w:val="20"/>
          <w:szCs w:val="20"/>
          <w:lang w:val="en-US" w:eastAsia="pt-BR"/>
        </w:rPr>
        <w:t xml:space="preserve"> peels were subjected to ultrasound-assisted maceration extraction using five different solvent systems: </w:t>
      </w:r>
      <w:proofErr w:type="spellStart"/>
      <w:proofErr w:type="gramStart"/>
      <w:r w:rsidRPr="008D64CA">
        <w:rPr>
          <w:rFonts w:ascii="Arial" w:eastAsia="Times New Roman" w:hAnsi="Arial" w:cs="Arial"/>
          <w:sz w:val="20"/>
          <w:szCs w:val="20"/>
          <w:lang w:val="en-US" w:eastAsia="pt-BR"/>
        </w:rPr>
        <w:t>Ethanol:Water</w:t>
      </w:r>
      <w:proofErr w:type="spellEnd"/>
      <w:proofErr w:type="gramEnd"/>
      <w:r w:rsidRPr="008D64CA">
        <w:rPr>
          <w:rFonts w:ascii="Arial" w:eastAsia="Times New Roman" w:hAnsi="Arial" w:cs="Arial"/>
          <w:sz w:val="20"/>
          <w:szCs w:val="20"/>
          <w:lang w:val="en-US" w:eastAsia="pt-BR"/>
        </w:rPr>
        <w:t xml:space="preserve"> (9:1), </w:t>
      </w:r>
      <w:proofErr w:type="spellStart"/>
      <w:proofErr w:type="gramStart"/>
      <w:r w:rsidRPr="008D64CA">
        <w:rPr>
          <w:rFonts w:ascii="Arial" w:eastAsia="Times New Roman" w:hAnsi="Arial" w:cs="Arial"/>
          <w:sz w:val="20"/>
          <w:szCs w:val="20"/>
          <w:lang w:val="en-US" w:eastAsia="pt-BR"/>
        </w:rPr>
        <w:t>Acetone:Water</w:t>
      </w:r>
      <w:proofErr w:type="spellEnd"/>
      <w:proofErr w:type="gramEnd"/>
      <w:r w:rsidRPr="008D64CA">
        <w:rPr>
          <w:rFonts w:ascii="Arial" w:eastAsia="Times New Roman" w:hAnsi="Arial" w:cs="Arial"/>
          <w:sz w:val="20"/>
          <w:szCs w:val="20"/>
          <w:lang w:val="en-US" w:eastAsia="pt-BR"/>
        </w:rPr>
        <w:t xml:space="preserve"> (7:3), </w:t>
      </w:r>
      <w:proofErr w:type="spellStart"/>
      <w:proofErr w:type="gramStart"/>
      <w:r w:rsidRPr="008D64CA">
        <w:rPr>
          <w:rFonts w:ascii="Arial" w:eastAsia="Times New Roman" w:hAnsi="Arial" w:cs="Arial"/>
          <w:sz w:val="20"/>
          <w:szCs w:val="20"/>
          <w:lang w:val="en-US" w:eastAsia="pt-BR"/>
        </w:rPr>
        <w:t>Methanol:Water</w:t>
      </w:r>
      <w:proofErr w:type="spellEnd"/>
      <w:proofErr w:type="gramEnd"/>
      <w:r w:rsidRPr="008D64CA">
        <w:rPr>
          <w:rFonts w:ascii="Arial" w:eastAsia="Times New Roman" w:hAnsi="Arial" w:cs="Arial"/>
          <w:sz w:val="20"/>
          <w:szCs w:val="20"/>
          <w:lang w:val="en-US" w:eastAsia="pt-BR"/>
        </w:rPr>
        <w:t xml:space="preserve"> (7:3), </w:t>
      </w:r>
      <w:proofErr w:type="spellStart"/>
      <w:proofErr w:type="gramStart"/>
      <w:r w:rsidRPr="008D64CA">
        <w:rPr>
          <w:rFonts w:ascii="Arial" w:eastAsia="Times New Roman" w:hAnsi="Arial" w:cs="Arial"/>
          <w:sz w:val="20"/>
          <w:szCs w:val="20"/>
          <w:lang w:val="en-US" w:eastAsia="pt-BR"/>
        </w:rPr>
        <w:t>Methanol:Ethanol</w:t>
      </w:r>
      <w:proofErr w:type="gramEnd"/>
      <w:r w:rsidRPr="008D64CA">
        <w:rPr>
          <w:rFonts w:ascii="Arial" w:eastAsia="Times New Roman" w:hAnsi="Arial" w:cs="Arial"/>
          <w:sz w:val="20"/>
          <w:szCs w:val="20"/>
          <w:lang w:val="en-US" w:eastAsia="pt-BR"/>
        </w:rPr>
        <w:t>:Water</w:t>
      </w:r>
      <w:proofErr w:type="spellEnd"/>
      <w:r w:rsidRPr="008D64CA">
        <w:rPr>
          <w:rFonts w:ascii="Arial" w:eastAsia="Times New Roman" w:hAnsi="Arial" w:cs="Arial"/>
          <w:sz w:val="20"/>
          <w:szCs w:val="20"/>
          <w:lang w:val="en-US" w:eastAsia="pt-BR"/>
        </w:rPr>
        <w:t xml:space="preserve"> (4:4:2), and </w:t>
      </w:r>
      <w:proofErr w:type="spellStart"/>
      <w:proofErr w:type="gramStart"/>
      <w:r w:rsidRPr="008D64CA">
        <w:rPr>
          <w:rFonts w:ascii="Arial" w:eastAsia="Times New Roman" w:hAnsi="Arial" w:cs="Arial"/>
          <w:sz w:val="20"/>
          <w:szCs w:val="20"/>
          <w:lang w:val="en-US" w:eastAsia="pt-BR"/>
        </w:rPr>
        <w:t>Acetone:Ethanol</w:t>
      </w:r>
      <w:proofErr w:type="gramEnd"/>
      <w:r w:rsidRPr="008D64CA">
        <w:rPr>
          <w:rFonts w:ascii="Arial" w:eastAsia="Times New Roman" w:hAnsi="Arial" w:cs="Arial"/>
          <w:sz w:val="20"/>
          <w:szCs w:val="20"/>
          <w:lang w:val="en-US" w:eastAsia="pt-BR"/>
        </w:rPr>
        <w:t>:Water</w:t>
      </w:r>
      <w:proofErr w:type="spellEnd"/>
      <w:r w:rsidRPr="008D64CA">
        <w:rPr>
          <w:rFonts w:ascii="Arial" w:eastAsia="Times New Roman" w:hAnsi="Arial" w:cs="Arial"/>
          <w:sz w:val="20"/>
          <w:szCs w:val="20"/>
          <w:lang w:val="en-US" w:eastAsia="pt-BR"/>
        </w:rPr>
        <w:t xml:space="preserve"> (4:4:2). For chemical characterization, total polyphenols were quantified by the Folin-</w:t>
      </w:r>
      <w:proofErr w:type="spellStart"/>
      <w:r w:rsidRPr="008D64CA">
        <w:rPr>
          <w:rFonts w:ascii="Arial" w:eastAsia="Times New Roman" w:hAnsi="Arial" w:cs="Arial"/>
          <w:sz w:val="20"/>
          <w:szCs w:val="20"/>
          <w:lang w:val="en-US" w:eastAsia="pt-BR"/>
        </w:rPr>
        <w:t>Ciocalteu</w:t>
      </w:r>
      <w:proofErr w:type="spellEnd"/>
      <w:r w:rsidRPr="008D64CA">
        <w:rPr>
          <w:rFonts w:ascii="Arial" w:eastAsia="Times New Roman" w:hAnsi="Arial" w:cs="Arial"/>
          <w:sz w:val="20"/>
          <w:szCs w:val="20"/>
          <w:lang w:val="en-US" w:eastAsia="pt-BR"/>
        </w:rPr>
        <w:t xml:space="preserve"> method, expressed as mg gallic acid equivalents per gram of extract (mg GAE/g). Total flavonoids were determined by spectrophotometry with aluminum chloride, expressed as mg quercetin equivalents per gram of extract (mg QE/g). Total anthocyanins were evaluated by the pH differential method, with results in mg/g. The antioxidant capacity of each extract was measured by ABTS and DPPH free radical scavenging assays, with results expressed as EC</w:t>
      </w:r>
      <w:r w:rsidRPr="008D64CA">
        <w:rPr>
          <w:rFonts w:ascii="Cambria Math" w:eastAsia="Times New Roman" w:hAnsi="Cambria Math" w:cs="Cambria Math"/>
          <w:sz w:val="20"/>
          <w:szCs w:val="20"/>
          <w:lang w:val="en-US" w:eastAsia="pt-BR"/>
        </w:rPr>
        <w:t>₅₀</w:t>
      </w:r>
      <w:r w:rsidRPr="008D64CA">
        <w:rPr>
          <w:rFonts w:ascii="Arial" w:eastAsia="Times New Roman" w:hAnsi="Arial" w:cs="Arial"/>
          <w:sz w:val="20"/>
          <w:szCs w:val="20"/>
          <w:lang w:val="en-US" w:eastAsia="pt-BR"/>
        </w:rPr>
        <w:t xml:space="preserve"> (concentration required for 50% inhibition, in µg/mL). All analyses were performed in triplicate, and data were subjected to statistical analysis (ANOVA followed by Tukey’s post hoc test), considering p &lt; 0.05 as statistically significant. </w:t>
      </w:r>
      <w:r w:rsidRPr="008D64CA">
        <w:rPr>
          <w:rFonts w:ascii="Arial" w:eastAsia="Times New Roman" w:hAnsi="Arial" w:cs="Arial"/>
          <w:b/>
          <w:bCs/>
          <w:sz w:val="20"/>
          <w:szCs w:val="20"/>
          <w:lang w:val="en-US" w:eastAsia="pt-BR"/>
        </w:rPr>
        <w:t>RESULTS AND DISCUSSION:</w:t>
      </w:r>
      <w:r w:rsidRPr="008D64CA">
        <w:rPr>
          <w:rFonts w:ascii="Arial" w:eastAsia="Times New Roman" w:hAnsi="Arial" w:cs="Arial"/>
          <w:sz w:val="20"/>
          <w:szCs w:val="20"/>
          <w:lang w:val="en-US" w:eastAsia="pt-BR"/>
        </w:rPr>
        <w:t xml:space="preserve"> Solvent screening demonstrated that solvent composition significantly impacts the extraction profile and antioxidant activity of </w:t>
      </w:r>
      <w:proofErr w:type="spellStart"/>
      <w:r w:rsidRPr="008D64CA">
        <w:rPr>
          <w:rFonts w:ascii="Arial" w:eastAsia="Times New Roman" w:hAnsi="Arial" w:cs="Arial"/>
          <w:sz w:val="20"/>
          <w:szCs w:val="20"/>
          <w:lang w:val="en-US" w:eastAsia="pt-BR"/>
        </w:rPr>
        <w:t>jabuticaba</w:t>
      </w:r>
      <w:proofErr w:type="spellEnd"/>
      <w:r w:rsidRPr="008D64CA">
        <w:rPr>
          <w:rFonts w:ascii="Arial" w:eastAsia="Times New Roman" w:hAnsi="Arial" w:cs="Arial"/>
          <w:sz w:val="20"/>
          <w:szCs w:val="20"/>
          <w:lang w:val="en-US" w:eastAsia="pt-BR"/>
        </w:rPr>
        <w:t xml:space="preserve"> peel compounds. The </w:t>
      </w:r>
      <w:proofErr w:type="spellStart"/>
      <w:r w:rsidRPr="008D64CA">
        <w:rPr>
          <w:rFonts w:ascii="Arial" w:eastAsia="Times New Roman" w:hAnsi="Arial" w:cs="Arial"/>
          <w:sz w:val="20"/>
          <w:szCs w:val="20"/>
          <w:lang w:val="en-US" w:eastAsia="pt-BR"/>
        </w:rPr>
        <w:t>Methanol:Water</w:t>
      </w:r>
      <w:proofErr w:type="spellEnd"/>
      <w:r w:rsidRPr="008D64CA">
        <w:rPr>
          <w:rFonts w:ascii="Arial" w:eastAsia="Times New Roman" w:hAnsi="Arial" w:cs="Arial"/>
          <w:sz w:val="20"/>
          <w:szCs w:val="20"/>
          <w:lang w:val="en-US" w:eastAsia="pt-BR"/>
        </w:rPr>
        <w:t xml:space="preserve"> (7:3) extract, selected for subsequent steps, stood out for its balanced profile of total polyphenols (54.0 ± 0.01 mg GAE/g), total flavonoids (30.4 ± 0.34 mg QE/g), and anthocyanins (6.0 ± 0.26 mg/g), in addition to potent antioxidant activity in ABTS (EC</w:t>
      </w:r>
      <w:r w:rsidRPr="008D64CA">
        <w:rPr>
          <w:rFonts w:ascii="Cambria Math" w:eastAsia="Times New Roman" w:hAnsi="Cambria Math" w:cs="Cambria Math"/>
          <w:sz w:val="20"/>
          <w:szCs w:val="20"/>
          <w:lang w:val="en-US" w:eastAsia="pt-BR"/>
        </w:rPr>
        <w:t>₅₀</w:t>
      </w:r>
      <w:r w:rsidRPr="008D64CA">
        <w:rPr>
          <w:rFonts w:ascii="Arial" w:eastAsia="Times New Roman" w:hAnsi="Arial" w:cs="Arial"/>
          <w:sz w:val="20"/>
          <w:szCs w:val="20"/>
          <w:lang w:val="en-US" w:eastAsia="pt-BR"/>
        </w:rPr>
        <w:t xml:space="preserve"> of 13.00 ± 2.31 µg/mL) and DPPH (EC</w:t>
      </w:r>
      <w:r w:rsidRPr="008D64CA">
        <w:rPr>
          <w:rFonts w:ascii="Cambria Math" w:eastAsia="Times New Roman" w:hAnsi="Cambria Math" w:cs="Cambria Math"/>
          <w:sz w:val="20"/>
          <w:szCs w:val="20"/>
          <w:lang w:val="en-US" w:eastAsia="pt-BR"/>
        </w:rPr>
        <w:t>₅₀</w:t>
      </w:r>
      <w:r w:rsidRPr="008D64CA">
        <w:rPr>
          <w:rFonts w:ascii="Arial" w:eastAsia="Times New Roman" w:hAnsi="Arial" w:cs="Arial"/>
          <w:sz w:val="20"/>
          <w:szCs w:val="20"/>
          <w:lang w:val="en-US" w:eastAsia="pt-BR"/>
        </w:rPr>
        <w:t xml:space="preserve"> of 17.12 ± 3.50 µg/mL) assays. Although other solvents maximized the extraction of specific compounds (</w:t>
      </w:r>
      <w:proofErr w:type="spellStart"/>
      <w:r w:rsidRPr="008D64CA">
        <w:rPr>
          <w:rFonts w:ascii="Arial" w:eastAsia="Times New Roman" w:hAnsi="Arial" w:cs="Arial"/>
          <w:sz w:val="20"/>
          <w:szCs w:val="20"/>
          <w:lang w:val="en-US" w:eastAsia="pt-BR"/>
        </w:rPr>
        <w:t>Acetone:Ethanol:Water</w:t>
      </w:r>
      <w:proofErr w:type="spellEnd"/>
      <w:r w:rsidRPr="008D64CA">
        <w:rPr>
          <w:rFonts w:ascii="Arial" w:eastAsia="Times New Roman" w:hAnsi="Arial" w:cs="Arial"/>
          <w:sz w:val="20"/>
          <w:szCs w:val="20"/>
          <w:lang w:val="en-US" w:eastAsia="pt-BR"/>
        </w:rPr>
        <w:t xml:space="preserve"> (4:4:2) for polyphenols and DPPH; </w:t>
      </w:r>
      <w:proofErr w:type="spellStart"/>
      <w:r w:rsidRPr="008D64CA">
        <w:rPr>
          <w:rFonts w:ascii="Arial" w:eastAsia="Times New Roman" w:hAnsi="Arial" w:cs="Arial"/>
          <w:sz w:val="20"/>
          <w:szCs w:val="20"/>
          <w:lang w:val="en-US" w:eastAsia="pt-BR"/>
        </w:rPr>
        <w:t>Acetone:Water</w:t>
      </w:r>
      <w:proofErr w:type="spellEnd"/>
      <w:r w:rsidRPr="008D64CA">
        <w:rPr>
          <w:rFonts w:ascii="Arial" w:eastAsia="Times New Roman" w:hAnsi="Arial" w:cs="Arial"/>
          <w:sz w:val="20"/>
          <w:szCs w:val="20"/>
          <w:lang w:val="en-US" w:eastAsia="pt-BR"/>
        </w:rPr>
        <w:t xml:space="preserve"> (7:3) for flavonoids and ABTS; </w:t>
      </w:r>
      <w:proofErr w:type="spellStart"/>
      <w:r w:rsidRPr="008D64CA">
        <w:rPr>
          <w:rFonts w:ascii="Arial" w:eastAsia="Times New Roman" w:hAnsi="Arial" w:cs="Arial"/>
          <w:sz w:val="20"/>
          <w:szCs w:val="20"/>
          <w:lang w:val="en-US" w:eastAsia="pt-BR"/>
        </w:rPr>
        <w:t>Ethanol:Water</w:t>
      </w:r>
      <w:proofErr w:type="spellEnd"/>
      <w:r w:rsidRPr="008D64CA">
        <w:rPr>
          <w:rFonts w:ascii="Arial" w:eastAsia="Times New Roman" w:hAnsi="Arial" w:cs="Arial"/>
          <w:sz w:val="20"/>
          <w:szCs w:val="20"/>
          <w:lang w:val="en-US" w:eastAsia="pt-BR"/>
        </w:rPr>
        <w:t xml:space="preserve"> (9:1) for anthocyanins), the decision for </w:t>
      </w:r>
      <w:proofErr w:type="spellStart"/>
      <w:r w:rsidRPr="008D64CA">
        <w:rPr>
          <w:rFonts w:ascii="Arial" w:eastAsia="Times New Roman" w:hAnsi="Arial" w:cs="Arial"/>
          <w:sz w:val="20"/>
          <w:szCs w:val="20"/>
          <w:lang w:val="en-US" w:eastAsia="pt-BR"/>
        </w:rPr>
        <w:t>Methanol:Water</w:t>
      </w:r>
      <w:proofErr w:type="spellEnd"/>
      <w:r w:rsidRPr="008D64CA">
        <w:rPr>
          <w:rFonts w:ascii="Arial" w:eastAsia="Times New Roman" w:hAnsi="Arial" w:cs="Arial"/>
          <w:sz w:val="20"/>
          <w:szCs w:val="20"/>
          <w:lang w:val="en-US" w:eastAsia="pt-BR"/>
        </w:rPr>
        <w:t xml:space="preserve"> (7:3) was based on its favorable balance of different classes of phenolic compounds and its consistently high antioxidant activity, which is ideal for the multifaceted approach required in melasma treatment. </w:t>
      </w:r>
      <w:r w:rsidRPr="008D64CA">
        <w:rPr>
          <w:rFonts w:ascii="Arial" w:eastAsia="Times New Roman" w:hAnsi="Arial" w:cs="Arial"/>
          <w:b/>
          <w:bCs/>
          <w:sz w:val="20"/>
          <w:szCs w:val="20"/>
          <w:lang w:val="en-US" w:eastAsia="pt-BR"/>
        </w:rPr>
        <w:t>CONCLUSIONS:</w:t>
      </w:r>
      <w:r w:rsidRPr="008D64CA">
        <w:rPr>
          <w:rFonts w:ascii="Arial" w:eastAsia="Times New Roman" w:hAnsi="Arial" w:cs="Arial"/>
          <w:sz w:val="20"/>
          <w:szCs w:val="20"/>
          <w:lang w:val="en-US" w:eastAsia="pt-BR"/>
        </w:rPr>
        <w:t xml:space="preserve"> The extraction optimization step revealed that the </w:t>
      </w:r>
      <w:proofErr w:type="spellStart"/>
      <w:proofErr w:type="gramStart"/>
      <w:r w:rsidRPr="008D64CA">
        <w:rPr>
          <w:rFonts w:ascii="Arial" w:eastAsia="Times New Roman" w:hAnsi="Arial" w:cs="Arial"/>
          <w:sz w:val="20"/>
          <w:szCs w:val="20"/>
          <w:lang w:val="en-US" w:eastAsia="pt-BR"/>
        </w:rPr>
        <w:t>Methanol:Water</w:t>
      </w:r>
      <w:proofErr w:type="spellEnd"/>
      <w:proofErr w:type="gramEnd"/>
      <w:r w:rsidRPr="008D64CA">
        <w:rPr>
          <w:rFonts w:ascii="Arial" w:eastAsia="Times New Roman" w:hAnsi="Arial" w:cs="Arial"/>
          <w:sz w:val="20"/>
          <w:szCs w:val="20"/>
          <w:lang w:val="en-US" w:eastAsia="pt-BR"/>
        </w:rPr>
        <w:t xml:space="preserve"> (7:3) system is the most suitable for obtaining a </w:t>
      </w:r>
      <w:proofErr w:type="spellStart"/>
      <w:r w:rsidRPr="008D64CA">
        <w:rPr>
          <w:rFonts w:ascii="Arial" w:eastAsia="Times New Roman" w:hAnsi="Arial" w:cs="Arial"/>
          <w:sz w:val="20"/>
          <w:szCs w:val="20"/>
          <w:lang w:val="en-US" w:eastAsia="pt-BR"/>
        </w:rPr>
        <w:t>jabuticaba</w:t>
      </w:r>
      <w:proofErr w:type="spellEnd"/>
      <w:r w:rsidRPr="008D64CA">
        <w:rPr>
          <w:rFonts w:ascii="Arial" w:eastAsia="Times New Roman" w:hAnsi="Arial" w:cs="Arial"/>
          <w:sz w:val="20"/>
          <w:szCs w:val="20"/>
          <w:lang w:val="en-US" w:eastAsia="pt-BR"/>
        </w:rPr>
        <w:t xml:space="preserve"> peel extract with a balanced profile of polyphenols, flavonoids, and anthocyanins, in addition to a high and consistent antioxidant capacity. These findings are crucial for the next phases of the project development, which will focus on incorporating this optimized extract into a liposomal formulation. This approach is expected to result in an innovative, effective, and safe dermo-cosmetic product for melasma treatment, highlighting Brazilian biodiversity.</w:t>
      </w:r>
    </w:p>
    <w:p w14:paraId="565A87B3" w14:textId="77777777" w:rsidR="004264B1" w:rsidRDefault="004264B1" w:rsidP="004264B1">
      <w:pPr>
        <w:spacing w:after="0" w:line="240" w:lineRule="auto"/>
        <w:jc w:val="both"/>
        <w:rPr>
          <w:rFonts w:ascii="Arial" w:eastAsia="Times New Roman" w:hAnsi="Arial" w:cs="Arial"/>
          <w:sz w:val="18"/>
          <w:szCs w:val="18"/>
          <w:lang w:val="en-US" w:eastAsia="pt-BR"/>
        </w:rPr>
      </w:pPr>
    </w:p>
    <w:p w14:paraId="35518AE9" w14:textId="6A14BAF0" w:rsidR="004264B1" w:rsidRDefault="004264B1" w:rsidP="004264B1">
      <w:pPr>
        <w:spacing w:after="0" w:line="240" w:lineRule="auto"/>
        <w:jc w:val="both"/>
        <w:rPr>
          <w:rFonts w:ascii="Arial" w:eastAsia="Times New Roman" w:hAnsi="Arial" w:cs="Arial"/>
          <w:sz w:val="20"/>
          <w:szCs w:val="20"/>
          <w:lang w:val="en-US" w:eastAsia="pt-BR"/>
        </w:rPr>
      </w:pPr>
      <w:r w:rsidRPr="004264B1">
        <w:rPr>
          <w:rFonts w:ascii="Arial" w:eastAsia="Times New Roman" w:hAnsi="Arial" w:cs="Arial"/>
          <w:sz w:val="18"/>
          <w:szCs w:val="18"/>
          <w:lang w:val="en-US" w:eastAsia="pt-BR"/>
        </w:rPr>
        <w:t>Keywords:</w:t>
      </w:r>
      <w:r w:rsidR="008D64CA" w:rsidRPr="008D64CA">
        <w:rPr>
          <w:rFonts w:ascii="Arial" w:eastAsia="Times New Roman" w:hAnsi="Arial" w:cs="Arial"/>
          <w:sz w:val="18"/>
          <w:szCs w:val="18"/>
          <w:lang w:val="en-US" w:eastAsia="pt-BR"/>
        </w:rPr>
        <w:t xml:space="preserve"> </w:t>
      </w:r>
      <w:r w:rsidR="008D64CA" w:rsidRPr="008D64CA">
        <w:rPr>
          <w:rFonts w:ascii="Arial" w:eastAsia="Times New Roman" w:hAnsi="Arial" w:cs="Arial"/>
          <w:i/>
          <w:iCs/>
          <w:sz w:val="18"/>
          <w:szCs w:val="18"/>
          <w:lang w:val="en-US" w:eastAsia="pt-BR"/>
        </w:rPr>
        <w:t xml:space="preserve">Melasma; </w:t>
      </w:r>
      <w:proofErr w:type="spellStart"/>
      <w:r w:rsidR="008D64CA" w:rsidRPr="008D64CA">
        <w:rPr>
          <w:rFonts w:ascii="Arial" w:eastAsia="Times New Roman" w:hAnsi="Arial" w:cs="Arial"/>
          <w:i/>
          <w:iCs/>
          <w:sz w:val="18"/>
          <w:szCs w:val="18"/>
          <w:lang w:val="en-US" w:eastAsia="pt-BR"/>
        </w:rPr>
        <w:t>Jabuticaba</w:t>
      </w:r>
      <w:proofErr w:type="spellEnd"/>
      <w:r w:rsidR="008D64CA" w:rsidRPr="008D64CA">
        <w:rPr>
          <w:rFonts w:ascii="Arial" w:eastAsia="Times New Roman" w:hAnsi="Arial" w:cs="Arial"/>
          <w:i/>
          <w:iCs/>
          <w:sz w:val="18"/>
          <w:szCs w:val="18"/>
          <w:lang w:val="en-US" w:eastAsia="pt-BR"/>
        </w:rPr>
        <w:t>; Antioxidant; Extraction; Flavonoids; Anthocyanins.</w:t>
      </w:r>
      <w:r w:rsidR="008D64CA" w:rsidRPr="004264B1">
        <w:rPr>
          <w:rFonts w:ascii="Arial" w:eastAsia="Times New Roman" w:hAnsi="Arial" w:cs="Arial"/>
          <w:sz w:val="18"/>
          <w:szCs w:val="18"/>
          <w:lang w:val="en-US" w:eastAsia="pt-BR"/>
        </w:rPr>
        <w:t xml:space="preserve"> </w:t>
      </w:r>
    </w:p>
    <w:p w14:paraId="7A997EA6" w14:textId="77777777" w:rsidR="006028C1" w:rsidRDefault="006028C1" w:rsidP="004264B1">
      <w:pPr>
        <w:spacing w:after="0" w:line="240" w:lineRule="auto"/>
        <w:jc w:val="both"/>
        <w:rPr>
          <w:rFonts w:ascii="Arial" w:eastAsia="Times New Roman" w:hAnsi="Arial" w:cs="Arial"/>
          <w:sz w:val="20"/>
          <w:szCs w:val="20"/>
          <w:lang w:val="en-US" w:eastAsia="pt-BR"/>
        </w:rPr>
      </w:pPr>
    </w:p>
    <w:p w14:paraId="7E0E0604" w14:textId="26B14B10" w:rsidR="00A01489" w:rsidRPr="008D64CA" w:rsidRDefault="004264B1" w:rsidP="004264B1">
      <w:pPr>
        <w:spacing w:after="0" w:line="240" w:lineRule="auto"/>
        <w:jc w:val="both"/>
        <w:rPr>
          <w:rFonts w:ascii="Arial" w:eastAsia="Times New Roman" w:hAnsi="Arial" w:cs="Arial"/>
          <w:sz w:val="20"/>
          <w:szCs w:val="20"/>
          <w:lang w:val="en-US" w:eastAsia="pt-BR"/>
        </w:rPr>
      </w:pPr>
      <w:r w:rsidRPr="008D64CA">
        <w:rPr>
          <w:rFonts w:ascii="Arial" w:eastAsia="Times New Roman" w:hAnsi="Arial" w:cs="Arial"/>
          <w:sz w:val="20"/>
          <w:szCs w:val="20"/>
          <w:lang w:val="en-US" w:eastAsia="pt-BR"/>
        </w:rPr>
        <w:t>Acknowledgments:</w:t>
      </w:r>
      <w:r w:rsidR="008D64CA" w:rsidRPr="008D64CA">
        <w:rPr>
          <w:rFonts w:ascii="Arial" w:eastAsia="Times New Roman" w:hAnsi="Arial" w:cs="Arial"/>
          <w:sz w:val="20"/>
          <w:szCs w:val="20"/>
          <w:lang w:val="en-US" w:eastAsia="pt-BR"/>
        </w:rPr>
        <w:t xml:space="preserve"> FAPES.</w:t>
      </w:r>
    </w:p>
    <w:p w14:paraId="261169B7" w14:textId="60C7CB34" w:rsidR="004264B1" w:rsidRPr="006D211D" w:rsidRDefault="004264B1" w:rsidP="006D211D">
      <w:pPr>
        <w:pStyle w:val="Ttulo1"/>
        <w:rPr>
          <w:rFonts w:ascii="Arial" w:eastAsia="Times New Roman" w:hAnsi="Arial" w:cs="Arial"/>
          <w:b/>
          <w:bCs/>
          <w:color w:val="auto"/>
          <w:sz w:val="28"/>
          <w:szCs w:val="28"/>
          <w:lang w:val="en-US" w:eastAsia="pt-BR"/>
        </w:rPr>
      </w:pPr>
      <w:bookmarkStart w:id="6" w:name="_Toc211954563"/>
      <w:r w:rsidRPr="006D211D">
        <w:rPr>
          <w:rFonts w:ascii="Arial" w:eastAsia="Times New Roman" w:hAnsi="Arial" w:cs="Arial"/>
          <w:b/>
          <w:bCs/>
          <w:color w:val="auto"/>
          <w:sz w:val="28"/>
          <w:szCs w:val="28"/>
          <w:lang w:val="en-US" w:eastAsia="pt-BR"/>
        </w:rPr>
        <w:lastRenderedPageBreak/>
        <w:t xml:space="preserve">Development and </w:t>
      </w:r>
      <w:r w:rsidRPr="006D211D">
        <w:rPr>
          <w:rFonts w:ascii="Arial" w:eastAsia="Times New Roman" w:hAnsi="Arial" w:cs="Arial"/>
          <w:b/>
          <w:bCs/>
          <w:i/>
          <w:iCs/>
          <w:color w:val="auto"/>
          <w:sz w:val="28"/>
          <w:szCs w:val="28"/>
          <w:lang w:val="en-US" w:eastAsia="pt-BR"/>
        </w:rPr>
        <w:t xml:space="preserve">In Vitro </w:t>
      </w:r>
      <w:r w:rsidRPr="006D211D">
        <w:rPr>
          <w:rFonts w:ascii="Arial" w:eastAsia="Times New Roman" w:hAnsi="Arial" w:cs="Arial"/>
          <w:b/>
          <w:bCs/>
          <w:color w:val="auto"/>
          <w:sz w:val="28"/>
          <w:szCs w:val="28"/>
          <w:lang w:val="en-US" w:eastAsia="pt-BR"/>
        </w:rPr>
        <w:t xml:space="preserve">Evaluation of an Ointment Containing Ethanolic Extract of </w:t>
      </w:r>
      <w:proofErr w:type="spellStart"/>
      <w:r w:rsidRPr="006D211D">
        <w:rPr>
          <w:rFonts w:ascii="Arial" w:eastAsia="Times New Roman" w:hAnsi="Arial" w:cs="Arial"/>
          <w:b/>
          <w:bCs/>
          <w:i/>
          <w:iCs/>
          <w:color w:val="auto"/>
          <w:sz w:val="28"/>
          <w:szCs w:val="28"/>
          <w:lang w:val="en-US" w:eastAsia="pt-BR"/>
        </w:rPr>
        <w:t>Lecythis</w:t>
      </w:r>
      <w:proofErr w:type="spellEnd"/>
      <w:r w:rsidRPr="006D211D">
        <w:rPr>
          <w:rFonts w:ascii="Arial" w:eastAsia="Times New Roman" w:hAnsi="Arial" w:cs="Arial"/>
          <w:b/>
          <w:bCs/>
          <w:i/>
          <w:iCs/>
          <w:color w:val="auto"/>
          <w:sz w:val="28"/>
          <w:szCs w:val="28"/>
          <w:lang w:val="en-US" w:eastAsia="pt-BR"/>
        </w:rPr>
        <w:t xml:space="preserve"> </w:t>
      </w:r>
      <w:proofErr w:type="spellStart"/>
      <w:r w:rsidRPr="006D211D">
        <w:rPr>
          <w:rFonts w:ascii="Arial" w:eastAsia="Times New Roman" w:hAnsi="Arial" w:cs="Arial"/>
          <w:b/>
          <w:bCs/>
          <w:i/>
          <w:iCs/>
          <w:color w:val="auto"/>
          <w:sz w:val="28"/>
          <w:szCs w:val="28"/>
          <w:lang w:val="en-US" w:eastAsia="pt-BR"/>
        </w:rPr>
        <w:t>pisonis</w:t>
      </w:r>
      <w:bookmarkEnd w:id="6"/>
      <w:proofErr w:type="spellEnd"/>
    </w:p>
    <w:p w14:paraId="05114EB3" w14:textId="55D7979B" w:rsidR="004264B1" w:rsidRDefault="004264B1" w:rsidP="004264B1">
      <w:pPr>
        <w:spacing w:before="100" w:beforeAutospacing="1" w:after="100" w:afterAutospacing="1" w:line="240" w:lineRule="auto"/>
        <w:jc w:val="both"/>
        <w:rPr>
          <w:rFonts w:ascii="Arial" w:eastAsia="Times New Roman" w:hAnsi="Arial" w:cs="Arial"/>
          <w:sz w:val="20"/>
          <w:szCs w:val="20"/>
          <w:lang w:eastAsia="pt-BR"/>
        </w:rPr>
      </w:pPr>
      <w:r w:rsidRPr="004264B1">
        <w:rPr>
          <w:rFonts w:ascii="Arial" w:eastAsia="Times New Roman" w:hAnsi="Arial" w:cs="Arial"/>
          <w:b/>
          <w:bCs/>
          <w:sz w:val="20"/>
          <w:szCs w:val="20"/>
          <w:lang w:eastAsia="pt-BR"/>
        </w:rPr>
        <w:t>Danielle Braga Portes¹</w:t>
      </w:r>
      <w:r w:rsidR="009E6ED0">
        <w:rPr>
          <w:rFonts w:ascii="Arial" w:eastAsia="Times New Roman" w:hAnsi="Arial" w:cs="Arial"/>
          <w:b/>
          <w:bCs/>
          <w:sz w:val="20"/>
          <w:szCs w:val="20"/>
          <w:lang w:eastAsia="pt-BR"/>
        </w:rPr>
        <w:t>*</w:t>
      </w:r>
      <w:r w:rsidRPr="004264B1">
        <w:rPr>
          <w:rFonts w:ascii="Arial" w:eastAsia="Times New Roman" w:hAnsi="Arial" w:cs="Arial"/>
          <w:b/>
          <w:bCs/>
          <w:sz w:val="20"/>
          <w:szCs w:val="20"/>
          <w:lang w:eastAsia="pt-BR"/>
        </w:rPr>
        <w:t xml:space="preserve">; Carlos Samuel Nery Trindade¹; Gabriel </w:t>
      </w:r>
      <w:proofErr w:type="spellStart"/>
      <w:r w:rsidRPr="004264B1">
        <w:rPr>
          <w:rFonts w:ascii="Arial" w:eastAsia="Times New Roman" w:hAnsi="Arial" w:cs="Arial"/>
          <w:b/>
          <w:bCs/>
          <w:sz w:val="20"/>
          <w:szCs w:val="20"/>
          <w:lang w:eastAsia="pt-BR"/>
        </w:rPr>
        <w:t>Arrigoni</w:t>
      </w:r>
      <w:proofErr w:type="spellEnd"/>
      <w:r w:rsidRPr="004264B1">
        <w:rPr>
          <w:rFonts w:ascii="Arial" w:eastAsia="Times New Roman" w:hAnsi="Arial" w:cs="Arial"/>
          <w:b/>
          <w:bCs/>
          <w:sz w:val="20"/>
          <w:szCs w:val="20"/>
          <w:lang w:eastAsia="pt-BR"/>
        </w:rPr>
        <w:t xml:space="preserve"> e Silva¹; Victória Barros Fracalossi¹; Denise Coutinho Endringer¹; Marcio Fronza¹</w:t>
      </w:r>
      <w:r w:rsidRPr="004264B1">
        <w:rPr>
          <w:rFonts w:ascii="Arial" w:eastAsia="Times New Roman" w:hAnsi="Arial" w:cs="Arial"/>
          <w:sz w:val="20"/>
          <w:szCs w:val="20"/>
          <w:lang w:eastAsia="pt-BR"/>
        </w:rPr>
        <w:t>*</w:t>
      </w:r>
      <w:r w:rsidR="009E6ED0">
        <w:rPr>
          <w:rFonts w:ascii="Arial" w:eastAsia="Times New Roman" w:hAnsi="Arial" w:cs="Arial"/>
          <w:sz w:val="20"/>
          <w:szCs w:val="20"/>
          <w:lang w:eastAsia="pt-BR"/>
        </w:rPr>
        <w:t>.</w:t>
      </w:r>
    </w:p>
    <w:p w14:paraId="79829806" w14:textId="4F9640DD" w:rsidR="009E6ED0" w:rsidRPr="004264B1" w:rsidRDefault="009E6ED0" w:rsidP="004264B1">
      <w:pPr>
        <w:spacing w:before="100" w:beforeAutospacing="1" w:after="100" w:afterAutospacing="1" w:line="240" w:lineRule="auto"/>
        <w:jc w:val="both"/>
        <w:rPr>
          <w:rFonts w:ascii="Arial" w:eastAsia="Times New Roman" w:hAnsi="Arial" w:cs="Arial"/>
          <w:i/>
          <w:iCs/>
          <w:color w:val="000000" w:themeColor="text1"/>
          <w:sz w:val="20"/>
          <w:szCs w:val="20"/>
          <w:lang w:eastAsia="pt-BR"/>
        </w:rPr>
      </w:pPr>
      <w:r w:rsidRPr="000C2BE9">
        <w:rPr>
          <w:rFonts w:ascii="Arial" w:eastAsia="Times New Roman" w:hAnsi="Arial" w:cs="Arial"/>
          <w:i/>
          <w:iCs/>
          <w:color w:val="000000" w:themeColor="text1"/>
          <w:sz w:val="20"/>
          <w:szCs w:val="20"/>
          <w:lang w:eastAsia="pt-BR"/>
        </w:rPr>
        <w:t>*</w:t>
      </w:r>
      <w:hyperlink r:id="rId25" w:history="1">
        <w:r w:rsidRPr="000C2BE9">
          <w:rPr>
            <w:rStyle w:val="Hyperlink"/>
            <w:rFonts w:ascii="Arial" w:eastAsia="Times New Roman" w:hAnsi="Arial" w:cs="Arial"/>
            <w:i/>
            <w:iCs/>
            <w:color w:val="000000" w:themeColor="text1"/>
            <w:sz w:val="20"/>
            <w:szCs w:val="20"/>
            <w:u w:val="none"/>
            <w:lang w:eastAsia="pt-BR"/>
          </w:rPr>
          <w:t>daniellebragaportes@gmail.com</w:t>
        </w:r>
      </w:hyperlink>
    </w:p>
    <w:p w14:paraId="0404EBDE" w14:textId="77777777" w:rsidR="004264B1" w:rsidRPr="004264B1" w:rsidRDefault="004264B1" w:rsidP="004264B1">
      <w:pPr>
        <w:spacing w:before="100" w:beforeAutospacing="1" w:after="100" w:afterAutospacing="1" w:line="240" w:lineRule="auto"/>
        <w:jc w:val="both"/>
        <w:rPr>
          <w:rFonts w:ascii="Arial" w:eastAsia="Times New Roman" w:hAnsi="Arial" w:cs="Arial"/>
          <w:i/>
          <w:iCs/>
          <w:sz w:val="18"/>
          <w:szCs w:val="18"/>
          <w:lang w:eastAsia="pt-BR"/>
        </w:rPr>
      </w:pPr>
      <w:r w:rsidRPr="004264B1">
        <w:rPr>
          <w:rFonts w:ascii="Arial" w:eastAsia="Times New Roman" w:hAnsi="Arial" w:cs="Arial"/>
          <w:i/>
          <w:iCs/>
          <w:sz w:val="18"/>
          <w:szCs w:val="18"/>
          <w:lang w:eastAsia="pt-BR"/>
        </w:rPr>
        <w:t xml:space="preserve">¹Universidade de Vila Velha (UVV), Vila Velha, ES, </w:t>
      </w:r>
      <w:proofErr w:type="spellStart"/>
      <w:r w:rsidRPr="004264B1">
        <w:rPr>
          <w:rFonts w:ascii="Arial" w:eastAsia="Times New Roman" w:hAnsi="Arial" w:cs="Arial"/>
          <w:i/>
          <w:iCs/>
          <w:sz w:val="18"/>
          <w:szCs w:val="18"/>
          <w:lang w:eastAsia="pt-BR"/>
        </w:rPr>
        <w:t>Brazil</w:t>
      </w:r>
      <w:proofErr w:type="spellEnd"/>
    </w:p>
    <w:p w14:paraId="6C12B6BE" w14:textId="644CDCB8" w:rsidR="004264B1" w:rsidRPr="004264B1" w:rsidRDefault="004264B1" w:rsidP="004264B1">
      <w:pPr>
        <w:spacing w:before="100" w:beforeAutospacing="1" w:after="100" w:afterAutospacing="1" w:line="240" w:lineRule="auto"/>
        <w:jc w:val="both"/>
        <w:rPr>
          <w:rFonts w:ascii="Arial" w:eastAsia="Times New Roman" w:hAnsi="Arial" w:cs="Arial"/>
          <w:sz w:val="18"/>
          <w:szCs w:val="18"/>
          <w:lang w:val="en-US" w:eastAsia="pt-BR"/>
        </w:rPr>
      </w:pPr>
      <w:r w:rsidRPr="004264B1">
        <w:rPr>
          <w:rFonts w:ascii="Arial" w:eastAsia="Times New Roman" w:hAnsi="Arial" w:cs="Arial"/>
          <w:b/>
          <w:bCs/>
          <w:sz w:val="18"/>
          <w:szCs w:val="18"/>
          <w:lang w:val="en-US" w:eastAsia="pt-BR"/>
        </w:rPr>
        <w:t>Thematic Session:</w:t>
      </w:r>
      <w:r w:rsidRPr="004264B1">
        <w:rPr>
          <w:rFonts w:ascii="Arial" w:eastAsia="Times New Roman" w:hAnsi="Arial" w:cs="Arial"/>
          <w:sz w:val="18"/>
          <w:szCs w:val="18"/>
          <w:lang w:val="en-US" w:eastAsia="pt-BR"/>
        </w:rPr>
        <w:t xml:space="preserve"> Natural Products: Chemical, Biological, and Application Aspects.</w:t>
      </w:r>
    </w:p>
    <w:p w14:paraId="1470B1BC" w14:textId="1FA53514" w:rsidR="004264B1" w:rsidRPr="004264B1" w:rsidRDefault="004264B1" w:rsidP="004264B1">
      <w:pPr>
        <w:spacing w:before="100" w:beforeAutospacing="1" w:after="100" w:afterAutospacing="1" w:line="240" w:lineRule="auto"/>
        <w:jc w:val="both"/>
        <w:rPr>
          <w:rFonts w:ascii="Arial" w:eastAsia="Times New Roman" w:hAnsi="Arial" w:cs="Arial"/>
          <w:sz w:val="20"/>
          <w:szCs w:val="20"/>
          <w:lang w:val="en-US" w:eastAsia="pt-BR"/>
        </w:rPr>
      </w:pPr>
      <w:r w:rsidRPr="004264B1">
        <w:rPr>
          <w:rFonts w:ascii="Arial" w:eastAsia="Times New Roman" w:hAnsi="Arial" w:cs="Arial"/>
          <w:b/>
          <w:bCs/>
          <w:sz w:val="20"/>
          <w:szCs w:val="20"/>
          <w:lang w:val="en-US" w:eastAsia="pt-BR"/>
        </w:rPr>
        <w:t>INTRODUCTION:</w:t>
      </w:r>
      <w:r w:rsidRPr="004264B1">
        <w:rPr>
          <w:rFonts w:ascii="Arial" w:eastAsia="Times New Roman" w:hAnsi="Arial" w:cs="Arial"/>
          <w:sz w:val="20"/>
          <w:szCs w:val="20"/>
          <w:lang w:val="en-US" w:eastAsia="pt-BR"/>
        </w:rPr>
        <w:t xml:space="preserve"> Natural products and their biological activities have attracted growing interest from the pharmaceutical industry and the scientific community, driven by the awareness of sustainable use of biodiversity and the search for safe and effective therapeutic alternatives. Among relevant clinical challenges, the treatment of cutaneous ulcers in diabetic patients stands out, as their healing is often compromised by oxidative stress. In this context, the present study aimed to develop and chemically and biologically characterize an ointment containing an ethanolic extract of </w:t>
      </w:r>
      <w:proofErr w:type="spellStart"/>
      <w:r w:rsidRPr="004264B1">
        <w:rPr>
          <w:rFonts w:ascii="Arial" w:eastAsia="Times New Roman" w:hAnsi="Arial" w:cs="Arial"/>
          <w:i/>
          <w:iCs/>
          <w:sz w:val="20"/>
          <w:szCs w:val="20"/>
          <w:lang w:val="en-US" w:eastAsia="pt-BR"/>
        </w:rPr>
        <w:t>Lecythis</w:t>
      </w:r>
      <w:proofErr w:type="spellEnd"/>
      <w:r w:rsidRPr="004264B1">
        <w:rPr>
          <w:rFonts w:ascii="Arial" w:eastAsia="Times New Roman" w:hAnsi="Arial" w:cs="Arial"/>
          <w:i/>
          <w:iCs/>
          <w:sz w:val="20"/>
          <w:szCs w:val="20"/>
          <w:lang w:val="en-US" w:eastAsia="pt-BR"/>
        </w:rPr>
        <w:t xml:space="preserve"> </w:t>
      </w:r>
      <w:proofErr w:type="spellStart"/>
      <w:r w:rsidRPr="004264B1">
        <w:rPr>
          <w:rFonts w:ascii="Arial" w:eastAsia="Times New Roman" w:hAnsi="Arial" w:cs="Arial"/>
          <w:i/>
          <w:iCs/>
          <w:sz w:val="20"/>
          <w:szCs w:val="20"/>
          <w:lang w:val="en-US" w:eastAsia="pt-BR"/>
        </w:rPr>
        <w:t>pisonis</w:t>
      </w:r>
      <w:proofErr w:type="spellEnd"/>
      <w:r w:rsidRPr="004264B1">
        <w:rPr>
          <w:rFonts w:ascii="Arial" w:eastAsia="Times New Roman" w:hAnsi="Arial" w:cs="Arial"/>
          <w:sz w:val="20"/>
          <w:szCs w:val="20"/>
          <w:lang w:val="en-US" w:eastAsia="pt-BR"/>
        </w:rPr>
        <w:t xml:space="preserve"> (</w:t>
      </w:r>
      <w:proofErr w:type="spellStart"/>
      <w:r w:rsidRPr="004264B1">
        <w:rPr>
          <w:rFonts w:ascii="Arial" w:eastAsia="Times New Roman" w:hAnsi="Arial" w:cs="Arial"/>
          <w:sz w:val="20"/>
          <w:szCs w:val="20"/>
          <w:lang w:val="en-US" w:eastAsia="pt-BR"/>
        </w:rPr>
        <w:t>sapucaia</w:t>
      </w:r>
      <w:proofErr w:type="spellEnd"/>
      <w:r w:rsidRPr="004264B1">
        <w:rPr>
          <w:rFonts w:ascii="Arial" w:eastAsia="Times New Roman" w:hAnsi="Arial" w:cs="Arial"/>
          <w:sz w:val="20"/>
          <w:szCs w:val="20"/>
          <w:lang w:val="en-US" w:eastAsia="pt-BR"/>
        </w:rPr>
        <w:t xml:space="preserve">) for topical application. </w:t>
      </w:r>
      <w:r w:rsidRPr="004264B1">
        <w:rPr>
          <w:rFonts w:ascii="Arial" w:eastAsia="Times New Roman" w:hAnsi="Arial" w:cs="Arial"/>
          <w:b/>
          <w:bCs/>
          <w:sz w:val="20"/>
          <w:szCs w:val="20"/>
          <w:lang w:val="en-US" w:eastAsia="pt-BR"/>
        </w:rPr>
        <w:t>METHODOLOGY:</w:t>
      </w:r>
      <w:r w:rsidRPr="004264B1">
        <w:rPr>
          <w:rFonts w:ascii="Arial" w:eastAsia="Times New Roman" w:hAnsi="Arial" w:cs="Arial"/>
          <w:sz w:val="20"/>
          <w:szCs w:val="20"/>
          <w:lang w:val="en-US" w:eastAsia="pt-BR"/>
        </w:rPr>
        <w:t xml:space="preserve"> Fruits of </w:t>
      </w:r>
      <w:r w:rsidRPr="004264B1">
        <w:rPr>
          <w:rFonts w:ascii="Arial" w:eastAsia="Times New Roman" w:hAnsi="Arial" w:cs="Arial"/>
          <w:i/>
          <w:iCs/>
          <w:sz w:val="20"/>
          <w:szCs w:val="20"/>
          <w:lang w:val="en-US" w:eastAsia="pt-BR"/>
        </w:rPr>
        <w:t xml:space="preserve">L. </w:t>
      </w:r>
      <w:proofErr w:type="spellStart"/>
      <w:r w:rsidRPr="004264B1">
        <w:rPr>
          <w:rFonts w:ascii="Arial" w:eastAsia="Times New Roman" w:hAnsi="Arial" w:cs="Arial"/>
          <w:i/>
          <w:iCs/>
          <w:sz w:val="20"/>
          <w:szCs w:val="20"/>
          <w:lang w:val="en-US" w:eastAsia="pt-BR"/>
        </w:rPr>
        <w:t>pisonis</w:t>
      </w:r>
      <w:proofErr w:type="spellEnd"/>
      <w:r w:rsidRPr="004264B1">
        <w:rPr>
          <w:rFonts w:ascii="Arial" w:eastAsia="Times New Roman" w:hAnsi="Arial" w:cs="Arial"/>
          <w:sz w:val="20"/>
          <w:szCs w:val="20"/>
          <w:lang w:val="en-US" w:eastAsia="pt-BR"/>
        </w:rPr>
        <w:t xml:space="preserve"> were collected in </w:t>
      </w:r>
      <w:proofErr w:type="spellStart"/>
      <w:r w:rsidRPr="004264B1">
        <w:rPr>
          <w:rFonts w:ascii="Arial" w:eastAsia="Times New Roman" w:hAnsi="Arial" w:cs="Arial"/>
          <w:sz w:val="20"/>
          <w:szCs w:val="20"/>
          <w:lang w:val="en-US" w:eastAsia="pt-BR"/>
        </w:rPr>
        <w:t>Laranja</w:t>
      </w:r>
      <w:proofErr w:type="spellEnd"/>
      <w:r w:rsidRPr="004264B1">
        <w:rPr>
          <w:rFonts w:ascii="Arial" w:eastAsia="Times New Roman" w:hAnsi="Arial" w:cs="Arial"/>
          <w:sz w:val="20"/>
          <w:szCs w:val="20"/>
          <w:lang w:val="en-US" w:eastAsia="pt-BR"/>
        </w:rPr>
        <w:t xml:space="preserve"> da Terra and Viana (ES, Brazil) and identified with a voucher deposited in the Herbarium of the Rio de Janeiro Botanical Garden (K000600113). The tegument was ground and subjected to exhaustive Soxhlet extraction with ethanol p.a. (99.8%). Total polyphenols and tannins were quantified using the Folin-</w:t>
      </w:r>
      <w:proofErr w:type="spellStart"/>
      <w:r w:rsidRPr="004264B1">
        <w:rPr>
          <w:rFonts w:ascii="Arial" w:eastAsia="Times New Roman" w:hAnsi="Arial" w:cs="Arial"/>
          <w:sz w:val="20"/>
          <w:szCs w:val="20"/>
          <w:lang w:val="en-US" w:eastAsia="pt-BR"/>
        </w:rPr>
        <w:t>Ciocalteu</w:t>
      </w:r>
      <w:proofErr w:type="spellEnd"/>
      <w:r w:rsidRPr="004264B1">
        <w:rPr>
          <w:rFonts w:ascii="Arial" w:eastAsia="Times New Roman" w:hAnsi="Arial" w:cs="Arial"/>
          <w:sz w:val="20"/>
          <w:szCs w:val="20"/>
          <w:lang w:val="en-US" w:eastAsia="pt-BR"/>
        </w:rPr>
        <w:t xml:space="preserve"> method with PVPP. Antioxidant activity was determined by ABTS and DPPH assays, with results expressed as IR</w:t>
      </w:r>
      <w:r w:rsidRPr="004264B1">
        <w:rPr>
          <w:rFonts w:ascii="Cambria Math" w:eastAsia="Times New Roman" w:hAnsi="Cambria Math" w:cs="Cambria Math"/>
          <w:sz w:val="20"/>
          <w:szCs w:val="20"/>
          <w:lang w:val="en-US" w:eastAsia="pt-BR"/>
        </w:rPr>
        <w:t>₅₀</w:t>
      </w:r>
      <w:r w:rsidRPr="004264B1">
        <w:rPr>
          <w:rFonts w:ascii="Arial" w:eastAsia="Times New Roman" w:hAnsi="Arial" w:cs="Arial"/>
          <w:sz w:val="20"/>
          <w:szCs w:val="20"/>
          <w:lang w:val="en-US" w:eastAsia="pt-BR"/>
        </w:rPr>
        <w:t xml:space="preserve">. Safety was assessed using HET-CAM and CAM-TBS assays in embryonated chicken eggs and a hemolysis test. </w:t>
      </w:r>
      <w:r w:rsidRPr="004264B1">
        <w:rPr>
          <w:rFonts w:ascii="Arial" w:eastAsia="Times New Roman" w:hAnsi="Arial" w:cs="Arial"/>
          <w:b/>
          <w:bCs/>
          <w:sz w:val="20"/>
          <w:szCs w:val="20"/>
          <w:lang w:val="en-US" w:eastAsia="pt-BR"/>
        </w:rPr>
        <w:t>RESULTS AND DISCUSSION:</w:t>
      </w:r>
      <w:r w:rsidRPr="004264B1">
        <w:rPr>
          <w:rFonts w:ascii="Arial" w:eastAsia="Times New Roman" w:hAnsi="Arial" w:cs="Arial"/>
          <w:sz w:val="20"/>
          <w:szCs w:val="20"/>
          <w:lang w:val="en-US" w:eastAsia="pt-BR"/>
        </w:rPr>
        <w:t xml:space="preserve"> The tegument of </w:t>
      </w:r>
      <w:r w:rsidRPr="004264B1">
        <w:rPr>
          <w:rFonts w:ascii="Arial" w:eastAsia="Times New Roman" w:hAnsi="Arial" w:cs="Arial"/>
          <w:i/>
          <w:iCs/>
          <w:sz w:val="20"/>
          <w:szCs w:val="20"/>
          <w:lang w:val="en-US" w:eastAsia="pt-BR"/>
        </w:rPr>
        <w:t xml:space="preserve">L. </w:t>
      </w:r>
      <w:proofErr w:type="spellStart"/>
      <w:r w:rsidRPr="004264B1">
        <w:rPr>
          <w:rFonts w:ascii="Arial" w:eastAsia="Times New Roman" w:hAnsi="Arial" w:cs="Arial"/>
          <w:i/>
          <w:iCs/>
          <w:sz w:val="20"/>
          <w:szCs w:val="20"/>
          <w:lang w:val="en-US" w:eastAsia="pt-BR"/>
        </w:rPr>
        <w:t>pisonis</w:t>
      </w:r>
      <w:proofErr w:type="spellEnd"/>
      <w:r w:rsidRPr="004264B1">
        <w:rPr>
          <w:rFonts w:ascii="Arial" w:eastAsia="Times New Roman" w:hAnsi="Arial" w:cs="Arial"/>
          <w:sz w:val="20"/>
          <w:szCs w:val="20"/>
          <w:lang w:val="en-US" w:eastAsia="pt-BR"/>
        </w:rPr>
        <w:t xml:space="preserve"> was ground and subjected to Soxhlet extraction with ethanol p.a. (99.8%) at a 10:100 m/v ratio. The extract was concentrated, lyophilized, and stored at −20 °C, yielding 2.96%. Chemical analysis showed 355.7 mg/g of total polyphenols and 224.9 mg/g of tannins (36.75% of total phenolics). An anhydrous ointment was formulated using </w:t>
      </w:r>
      <w:proofErr w:type="spellStart"/>
      <w:r w:rsidRPr="004264B1">
        <w:rPr>
          <w:rFonts w:ascii="Arial" w:eastAsia="Times New Roman" w:hAnsi="Arial" w:cs="Arial"/>
          <w:sz w:val="20"/>
          <w:szCs w:val="20"/>
          <w:lang w:val="en-US" w:eastAsia="pt-BR"/>
        </w:rPr>
        <w:t>lanovaseline</w:t>
      </w:r>
      <w:proofErr w:type="spellEnd"/>
      <w:r w:rsidRPr="004264B1">
        <w:rPr>
          <w:rFonts w:ascii="Arial" w:eastAsia="Times New Roman" w:hAnsi="Arial" w:cs="Arial"/>
          <w:sz w:val="20"/>
          <w:szCs w:val="20"/>
          <w:lang w:val="en-US" w:eastAsia="pt-BR"/>
        </w:rPr>
        <w:t xml:space="preserve"> as a base, selected for its emollient properties and compatibility with lipophilic actives. The ethanolic extract of </w:t>
      </w:r>
      <w:r w:rsidRPr="004264B1">
        <w:rPr>
          <w:rFonts w:ascii="Arial" w:eastAsia="Times New Roman" w:hAnsi="Arial" w:cs="Arial"/>
          <w:i/>
          <w:iCs/>
          <w:sz w:val="20"/>
          <w:szCs w:val="20"/>
          <w:lang w:val="en-US" w:eastAsia="pt-BR"/>
        </w:rPr>
        <w:t xml:space="preserve">L. </w:t>
      </w:r>
      <w:proofErr w:type="spellStart"/>
      <w:r w:rsidRPr="004264B1">
        <w:rPr>
          <w:rFonts w:ascii="Arial" w:eastAsia="Times New Roman" w:hAnsi="Arial" w:cs="Arial"/>
          <w:i/>
          <w:iCs/>
          <w:sz w:val="20"/>
          <w:szCs w:val="20"/>
          <w:lang w:val="en-US" w:eastAsia="pt-BR"/>
        </w:rPr>
        <w:t>pisonis</w:t>
      </w:r>
      <w:proofErr w:type="spellEnd"/>
      <w:r w:rsidRPr="004264B1">
        <w:rPr>
          <w:rFonts w:ascii="Arial" w:eastAsia="Times New Roman" w:hAnsi="Arial" w:cs="Arial"/>
          <w:sz w:val="20"/>
          <w:szCs w:val="20"/>
          <w:lang w:val="en-US" w:eastAsia="pt-BR"/>
        </w:rPr>
        <w:t xml:space="preserve"> was incorporated into the melted base (65–70 °C) under moderate stirring, followed by cooling to 40 °C to avoid thermal degradation. The formulation was filled into sterile aluminum tubes and stabilized for 24 h at room temperature. Three independent batches were prepared to ensure reproducibility. The ointment containing 1% extract showed 51.55 mg/g of total polyphenols and 29.61 mg/g of tannins, with an increase in the relative fraction of tannins to 42.55%, suggesting stability of these compounds and potential contribution to the antioxidant and wound-healing activity of the formulation. After 24 h of preparation, the ointment demonstrated strong antioxidant activity in ABTS and DPPH assays, with inhibition rates above 80% at higher concentrations. IR</w:t>
      </w:r>
      <w:r w:rsidRPr="004264B1">
        <w:rPr>
          <w:rFonts w:ascii="Cambria Math" w:eastAsia="Times New Roman" w:hAnsi="Cambria Math" w:cs="Cambria Math"/>
          <w:sz w:val="20"/>
          <w:szCs w:val="20"/>
          <w:lang w:val="en-US" w:eastAsia="pt-BR"/>
        </w:rPr>
        <w:t>₅₀</w:t>
      </w:r>
      <w:r w:rsidRPr="004264B1">
        <w:rPr>
          <w:rFonts w:ascii="Arial" w:eastAsia="Times New Roman" w:hAnsi="Arial" w:cs="Arial"/>
          <w:sz w:val="20"/>
          <w:szCs w:val="20"/>
          <w:lang w:val="en-US" w:eastAsia="pt-BR"/>
        </w:rPr>
        <w:t xml:space="preserve"> values ranged from 645.1–826.9 µg/mL (ABTS) and 789.6 µg/mL (DPPH), indicating good reproducibility and confirming the presence of radical scavenging compounds. These findings highlight the antioxidant potential of the formulation and its possible contribution to protection against oxidative stress in chronic wounds. In vitro safety assays (HET-CAM, CAM-TBS, and hemolysis) indicated no irritation, no hemorrhagic effect, and no significant hemolysis, classifying the formulation as non-irritant and safe for topical use. These results corroborate the biocompatibility of the ointment and reinforce its potential for application in skin lesions. </w:t>
      </w:r>
      <w:r w:rsidRPr="004264B1">
        <w:rPr>
          <w:rFonts w:ascii="Arial" w:eastAsia="Times New Roman" w:hAnsi="Arial" w:cs="Arial"/>
          <w:b/>
          <w:bCs/>
          <w:sz w:val="20"/>
          <w:szCs w:val="20"/>
          <w:lang w:val="en-US" w:eastAsia="pt-BR"/>
        </w:rPr>
        <w:t>CONCLUSIONS:</w:t>
      </w:r>
      <w:r w:rsidRPr="004264B1">
        <w:rPr>
          <w:rFonts w:ascii="Arial" w:eastAsia="Times New Roman" w:hAnsi="Arial" w:cs="Arial"/>
          <w:sz w:val="20"/>
          <w:szCs w:val="20"/>
          <w:lang w:val="en-US" w:eastAsia="pt-BR"/>
        </w:rPr>
        <w:t xml:space="preserve"> The ointment developed showed strong antioxidant activity, good physicochemical stability, and a favorable safety profile, supporting its potential as a candidate for future studies focused on topical application in skin lesions.</w:t>
      </w:r>
    </w:p>
    <w:p w14:paraId="5C5EAA65" w14:textId="23CF6747" w:rsidR="004264B1" w:rsidRPr="004264B1" w:rsidRDefault="004264B1" w:rsidP="004264B1">
      <w:pPr>
        <w:spacing w:before="100" w:beforeAutospacing="1" w:after="100" w:afterAutospacing="1" w:line="240" w:lineRule="auto"/>
        <w:jc w:val="both"/>
        <w:rPr>
          <w:rFonts w:ascii="Arial" w:eastAsia="Times New Roman" w:hAnsi="Arial" w:cs="Arial"/>
          <w:sz w:val="18"/>
          <w:szCs w:val="18"/>
          <w:lang w:val="en-US" w:eastAsia="pt-BR"/>
        </w:rPr>
      </w:pPr>
      <w:r w:rsidRPr="004264B1">
        <w:rPr>
          <w:rFonts w:ascii="Arial" w:eastAsia="Times New Roman" w:hAnsi="Arial" w:cs="Arial"/>
          <w:sz w:val="18"/>
          <w:szCs w:val="18"/>
          <w:lang w:val="en-US" w:eastAsia="pt-BR"/>
        </w:rPr>
        <w:t xml:space="preserve">Keywords: </w:t>
      </w:r>
      <w:r w:rsidRPr="004264B1">
        <w:rPr>
          <w:rFonts w:ascii="Arial" w:eastAsia="Times New Roman" w:hAnsi="Arial" w:cs="Arial"/>
          <w:i/>
          <w:iCs/>
          <w:sz w:val="18"/>
          <w:szCs w:val="18"/>
          <w:lang w:val="en-US" w:eastAsia="pt-BR"/>
        </w:rPr>
        <w:t xml:space="preserve">Natural product; Phytotherapy; </w:t>
      </w:r>
      <w:proofErr w:type="spellStart"/>
      <w:r w:rsidRPr="004264B1">
        <w:rPr>
          <w:rFonts w:ascii="Arial" w:eastAsia="Times New Roman" w:hAnsi="Arial" w:cs="Arial"/>
          <w:i/>
          <w:iCs/>
          <w:sz w:val="18"/>
          <w:szCs w:val="18"/>
          <w:lang w:val="en-US" w:eastAsia="pt-BR"/>
        </w:rPr>
        <w:t>Lecythis</w:t>
      </w:r>
      <w:proofErr w:type="spellEnd"/>
      <w:r w:rsidRPr="004264B1">
        <w:rPr>
          <w:rFonts w:ascii="Arial" w:eastAsia="Times New Roman" w:hAnsi="Arial" w:cs="Arial"/>
          <w:i/>
          <w:iCs/>
          <w:sz w:val="18"/>
          <w:szCs w:val="18"/>
          <w:lang w:val="en-US" w:eastAsia="pt-BR"/>
        </w:rPr>
        <w:t xml:space="preserve"> </w:t>
      </w:r>
      <w:proofErr w:type="spellStart"/>
      <w:r w:rsidRPr="004264B1">
        <w:rPr>
          <w:rFonts w:ascii="Arial" w:eastAsia="Times New Roman" w:hAnsi="Arial" w:cs="Arial"/>
          <w:i/>
          <w:iCs/>
          <w:sz w:val="18"/>
          <w:szCs w:val="18"/>
          <w:lang w:val="en-US" w:eastAsia="pt-BR"/>
        </w:rPr>
        <w:t>pisonis</w:t>
      </w:r>
      <w:proofErr w:type="spellEnd"/>
      <w:r w:rsidRPr="004264B1">
        <w:rPr>
          <w:rFonts w:ascii="Arial" w:eastAsia="Times New Roman" w:hAnsi="Arial" w:cs="Arial"/>
          <w:i/>
          <w:iCs/>
          <w:sz w:val="18"/>
          <w:szCs w:val="18"/>
          <w:lang w:val="en-US" w:eastAsia="pt-BR"/>
        </w:rPr>
        <w:t>; Sustainability; By-product.</w:t>
      </w:r>
    </w:p>
    <w:p w14:paraId="46F9C799" w14:textId="7AE67DFF" w:rsidR="00A01489" w:rsidRDefault="004264B1" w:rsidP="009E6ED0">
      <w:pPr>
        <w:spacing w:before="100" w:beforeAutospacing="1" w:after="100" w:afterAutospacing="1" w:line="240" w:lineRule="auto"/>
        <w:jc w:val="both"/>
        <w:rPr>
          <w:rFonts w:ascii="Arial" w:eastAsia="Times New Roman" w:hAnsi="Arial" w:cs="Arial"/>
          <w:sz w:val="20"/>
          <w:szCs w:val="20"/>
          <w:lang w:val="en-US" w:eastAsia="pt-BR"/>
        </w:rPr>
      </w:pPr>
      <w:r w:rsidRPr="004264B1">
        <w:rPr>
          <w:rFonts w:ascii="Arial" w:eastAsia="Times New Roman" w:hAnsi="Arial" w:cs="Arial"/>
          <w:sz w:val="20"/>
          <w:szCs w:val="20"/>
          <w:lang w:val="en-US" w:eastAsia="pt-BR"/>
        </w:rPr>
        <w:t>Acknowledgments: UVV, FAPES, CAPES.</w:t>
      </w:r>
    </w:p>
    <w:p w14:paraId="0CB90D15" w14:textId="77777777" w:rsidR="006251EA" w:rsidRPr="009E6ED0" w:rsidRDefault="006251EA" w:rsidP="009E6ED0">
      <w:pPr>
        <w:spacing w:before="100" w:beforeAutospacing="1" w:after="100" w:afterAutospacing="1" w:line="240" w:lineRule="auto"/>
        <w:jc w:val="both"/>
        <w:rPr>
          <w:rFonts w:ascii="Arial" w:eastAsia="Times New Roman" w:hAnsi="Arial" w:cs="Arial"/>
          <w:sz w:val="20"/>
          <w:szCs w:val="20"/>
          <w:lang w:val="en-US" w:eastAsia="pt-BR"/>
        </w:rPr>
      </w:pPr>
    </w:p>
    <w:p w14:paraId="0D58BB81" w14:textId="15B5DEF5" w:rsidR="004264B1" w:rsidRPr="006D211D" w:rsidRDefault="004264B1" w:rsidP="006D211D">
      <w:pPr>
        <w:pStyle w:val="Ttulo1"/>
        <w:rPr>
          <w:rFonts w:ascii="Arial" w:eastAsia="Times New Roman" w:hAnsi="Arial" w:cs="Arial"/>
          <w:b/>
          <w:bCs/>
          <w:color w:val="auto"/>
          <w:sz w:val="28"/>
          <w:szCs w:val="28"/>
          <w:lang w:val="en-US" w:eastAsia="pt-BR"/>
        </w:rPr>
      </w:pPr>
      <w:bookmarkStart w:id="7" w:name="_Toc211954564"/>
      <w:r w:rsidRPr="006D211D">
        <w:rPr>
          <w:rFonts w:ascii="Arial" w:eastAsia="Times New Roman" w:hAnsi="Arial" w:cs="Arial"/>
          <w:b/>
          <w:bCs/>
          <w:color w:val="auto"/>
          <w:sz w:val="28"/>
          <w:szCs w:val="28"/>
          <w:lang w:val="en-US" w:eastAsia="pt-BR"/>
        </w:rPr>
        <w:lastRenderedPageBreak/>
        <w:t xml:space="preserve">Preparation of a </w:t>
      </w:r>
      <w:proofErr w:type="spellStart"/>
      <w:r w:rsidRPr="006D211D">
        <w:rPr>
          <w:rFonts w:ascii="Arial" w:eastAsia="Times New Roman" w:hAnsi="Arial" w:cs="Arial"/>
          <w:b/>
          <w:bCs/>
          <w:i/>
          <w:iCs/>
          <w:color w:val="auto"/>
          <w:sz w:val="28"/>
          <w:szCs w:val="28"/>
          <w:lang w:val="en-US" w:eastAsia="pt-BR"/>
        </w:rPr>
        <w:t>Priestia</w:t>
      </w:r>
      <w:proofErr w:type="spellEnd"/>
      <w:r w:rsidRPr="006D211D">
        <w:rPr>
          <w:rFonts w:ascii="Arial" w:eastAsia="Times New Roman" w:hAnsi="Arial" w:cs="Arial"/>
          <w:b/>
          <w:bCs/>
          <w:color w:val="auto"/>
          <w:sz w:val="28"/>
          <w:szCs w:val="28"/>
          <w:lang w:val="en-US" w:eastAsia="pt-BR"/>
        </w:rPr>
        <w:t xml:space="preserve"> sp. Based Solid Biofertilizer Employing Coffee Husk Powder as a Carrier Agent</w:t>
      </w:r>
      <w:bookmarkEnd w:id="7"/>
    </w:p>
    <w:p w14:paraId="25E44DF8" w14:textId="776E1990" w:rsidR="004264B1" w:rsidRPr="004264B1" w:rsidRDefault="004264B1" w:rsidP="004264B1">
      <w:pPr>
        <w:spacing w:before="100" w:beforeAutospacing="1" w:after="100" w:afterAutospacing="1" w:line="240" w:lineRule="auto"/>
        <w:jc w:val="both"/>
        <w:rPr>
          <w:rFonts w:ascii="Arial" w:eastAsia="Times New Roman" w:hAnsi="Arial" w:cs="Arial"/>
          <w:sz w:val="20"/>
          <w:szCs w:val="20"/>
          <w:lang w:eastAsia="pt-BR"/>
        </w:rPr>
      </w:pPr>
      <w:r w:rsidRPr="004264B1">
        <w:rPr>
          <w:rFonts w:ascii="Arial" w:eastAsia="Times New Roman" w:hAnsi="Arial" w:cs="Arial"/>
          <w:b/>
          <w:bCs/>
          <w:sz w:val="20"/>
          <w:szCs w:val="20"/>
          <w:lang w:eastAsia="pt-BR"/>
        </w:rPr>
        <w:t>Flavio Alves da Silva¹</w:t>
      </w:r>
      <w:r>
        <w:rPr>
          <w:rFonts w:ascii="Arial" w:eastAsia="Times New Roman" w:hAnsi="Arial" w:cs="Arial"/>
          <w:b/>
          <w:bCs/>
          <w:sz w:val="20"/>
          <w:szCs w:val="20"/>
          <w:lang w:eastAsia="pt-BR"/>
        </w:rPr>
        <w:t>*</w:t>
      </w:r>
      <w:r w:rsidRPr="004264B1">
        <w:rPr>
          <w:rFonts w:ascii="Arial" w:eastAsia="Times New Roman" w:hAnsi="Arial" w:cs="Arial"/>
          <w:b/>
          <w:bCs/>
          <w:sz w:val="20"/>
          <w:szCs w:val="20"/>
          <w:lang w:eastAsia="pt-BR"/>
        </w:rPr>
        <w:t>; Felipe Barros da Silva¹; Elaine Cruz de Jesus¹; Thielly Santos da Mata Marvila¹; Alessandro Coutinho Ramos¹; Amanda Azevedo Bertolazi¹</w:t>
      </w:r>
      <w:r w:rsidR="009E6ED0">
        <w:rPr>
          <w:rFonts w:ascii="Arial" w:eastAsia="Times New Roman" w:hAnsi="Arial" w:cs="Arial"/>
          <w:b/>
          <w:bCs/>
          <w:sz w:val="20"/>
          <w:szCs w:val="20"/>
          <w:lang w:eastAsia="pt-BR"/>
        </w:rPr>
        <w:t>.</w:t>
      </w:r>
    </w:p>
    <w:p w14:paraId="2112BEAF" w14:textId="428FDA9E" w:rsidR="004264B1" w:rsidRPr="004264B1" w:rsidRDefault="004264B1" w:rsidP="004264B1">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Pr="004264B1">
        <w:rPr>
          <w:rFonts w:ascii="Arial" w:eastAsia="Times New Roman" w:hAnsi="Arial" w:cs="Arial"/>
          <w:i/>
          <w:iCs/>
          <w:sz w:val="20"/>
          <w:szCs w:val="20"/>
          <w:lang w:eastAsia="pt-BR"/>
        </w:rPr>
        <w:t>flavio.alves@symbiotech.com.br</w:t>
      </w:r>
    </w:p>
    <w:p w14:paraId="672A01CF" w14:textId="77777777" w:rsidR="004264B1" w:rsidRPr="004264B1" w:rsidRDefault="004264B1" w:rsidP="004264B1">
      <w:pPr>
        <w:spacing w:before="100" w:beforeAutospacing="1" w:after="100" w:afterAutospacing="1" w:line="240" w:lineRule="auto"/>
        <w:jc w:val="both"/>
        <w:rPr>
          <w:rFonts w:ascii="Arial" w:eastAsia="Times New Roman" w:hAnsi="Arial" w:cs="Arial"/>
          <w:sz w:val="18"/>
          <w:szCs w:val="18"/>
          <w:lang w:eastAsia="pt-BR"/>
        </w:rPr>
      </w:pPr>
      <w:r w:rsidRPr="004264B1">
        <w:rPr>
          <w:rFonts w:ascii="Arial" w:eastAsia="Times New Roman" w:hAnsi="Arial" w:cs="Arial"/>
          <w:sz w:val="18"/>
          <w:szCs w:val="18"/>
          <w:lang w:eastAsia="pt-BR"/>
        </w:rPr>
        <w:t xml:space="preserve">¹Universidade Vila Velha (UVV), Environmental </w:t>
      </w:r>
      <w:proofErr w:type="spellStart"/>
      <w:r w:rsidRPr="004264B1">
        <w:rPr>
          <w:rFonts w:ascii="Arial" w:eastAsia="Times New Roman" w:hAnsi="Arial" w:cs="Arial"/>
          <w:sz w:val="18"/>
          <w:szCs w:val="18"/>
          <w:lang w:eastAsia="pt-BR"/>
        </w:rPr>
        <w:t>Microbiology</w:t>
      </w:r>
      <w:proofErr w:type="spellEnd"/>
      <w:r w:rsidRPr="004264B1">
        <w:rPr>
          <w:rFonts w:ascii="Arial" w:eastAsia="Times New Roman" w:hAnsi="Arial" w:cs="Arial"/>
          <w:sz w:val="18"/>
          <w:szCs w:val="18"/>
          <w:lang w:eastAsia="pt-BR"/>
        </w:rPr>
        <w:t xml:space="preserve"> </w:t>
      </w:r>
      <w:proofErr w:type="spellStart"/>
      <w:r w:rsidRPr="004264B1">
        <w:rPr>
          <w:rFonts w:ascii="Arial" w:eastAsia="Times New Roman" w:hAnsi="Arial" w:cs="Arial"/>
          <w:sz w:val="18"/>
          <w:szCs w:val="18"/>
          <w:lang w:eastAsia="pt-BR"/>
        </w:rPr>
        <w:t>and</w:t>
      </w:r>
      <w:proofErr w:type="spellEnd"/>
      <w:r w:rsidRPr="004264B1">
        <w:rPr>
          <w:rFonts w:ascii="Arial" w:eastAsia="Times New Roman" w:hAnsi="Arial" w:cs="Arial"/>
          <w:sz w:val="18"/>
          <w:szCs w:val="18"/>
          <w:lang w:eastAsia="pt-BR"/>
        </w:rPr>
        <w:t xml:space="preserve"> </w:t>
      </w:r>
      <w:proofErr w:type="spellStart"/>
      <w:r w:rsidRPr="004264B1">
        <w:rPr>
          <w:rFonts w:ascii="Arial" w:eastAsia="Times New Roman" w:hAnsi="Arial" w:cs="Arial"/>
          <w:sz w:val="18"/>
          <w:szCs w:val="18"/>
          <w:lang w:eastAsia="pt-BR"/>
        </w:rPr>
        <w:t>Biotechnology</w:t>
      </w:r>
      <w:proofErr w:type="spellEnd"/>
      <w:r w:rsidRPr="004264B1">
        <w:rPr>
          <w:rFonts w:ascii="Arial" w:eastAsia="Times New Roman" w:hAnsi="Arial" w:cs="Arial"/>
          <w:sz w:val="18"/>
          <w:szCs w:val="18"/>
          <w:lang w:eastAsia="pt-BR"/>
        </w:rPr>
        <w:t xml:space="preserve"> </w:t>
      </w:r>
      <w:proofErr w:type="spellStart"/>
      <w:r w:rsidRPr="004264B1">
        <w:rPr>
          <w:rFonts w:ascii="Arial" w:eastAsia="Times New Roman" w:hAnsi="Arial" w:cs="Arial"/>
          <w:sz w:val="18"/>
          <w:szCs w:val="18"/>
          <w:lang w:eastAsia="pt-BR"/>
        </w:rPr>
        <w:t>Laboratory</w:t>
      </w:r>
      <w:proofErr w:type="spellEnd"/>
      <w:r w:rsidRPr="004264B1">
        <w:rPr>
          <w:rFonts w:ascii="Arial" w:eastAsia="Times New Roman" w:hAnsi="Arial" w:cs="Arial"/>
          <w:sz w:val="18"/>
          <w:szCs w:val="18"/>
          <w:lang w:eastAsia="pt-BR"/>
        </w:rPr>
        <w:t>, Vila Velha, ES, Brasil</w:t>
      </w:r>
    </w:p>
    <w:p w14:paraId="1D26F735" w14:textId="77777777" w:rsidR="009E6ED0" w:rsidRPr="004264B1" w:rsidRDefault="009E6ED0" w:rsidP="009E6ED0">
      <w:pPr>
        <w:spacing w:before="100" w:beforeAutospacing="1" w:after="100" w:afterAutospacing="1" w:line="240" w:lineRule="auto"/>
        <w:jc w:val="both"/>
        <w:rPr>
          <w:rFonts w:ascii="Arial" w:eastAsia="Times New Roman" w:hAnsi="Arial" w:cs="Arial"/>
          <w:sz w:val="18"/>
          <w:szCs w:val="18"/>
          <w:lang w:val="en-US" w:eastAsia="pt-BR"/>
        </w:rPr>
      </w:pPr>
      <w:r w:rsidRPr="004264B1">
        <w:rPr>
          <w:rFonts w:ascii="Arial" w:eastAsia="Times New Roman" w:hAnsi="Arial" w:cs="Arial"/>
          <w:b/>
          <w:bCs/>
          <w:sz w:val="18"/>
          <w:szCs w:val="18"/>
          <w:lang w:val="en-US" w:eastAsia="pt-BR"/>
        </w:rPr>
        <w:t>Thematic Session:</w:t>
      </w:r>
      <w:r w:rsidRPr="004264B1">
        <w:rPr>
          <w:rFonts w:ascii="Arial" w:eastAsia="Times New Roman" w:hAnsi="Arial" w:cs="Arial"/>
          <w:sz w:val="18"/>
          <w:szCs w:val="18"/>
          <w:lang w:val="en-US" w:eastAsia="pt-BR"/>
        </w:rPr>
        <w:t xml:space="preserve"> Natural Products: Chemical, Biological, and Application Aspects.</w:t>
      </w:r>
    </w:p>
    <w:p w14:paraId="7443B300" w14:textId="33424F3B" w:rsidR="004264B1" w:rsidRPr="004264B1" w:rsidRDefault="004264B1" w:rsidP="004264B1">
      <w:pPr>
        <w:spacing w:before="100" w:beforeAutospacing="1" w:after="100" w:afterAutospacing="1" w:line="240" w:lineRule="auto"/>
        <w:jc w:val="both"/>
        <w:rPr>
          <w:rFonts w:ascii="Arial" w:eastAsia="Times New Roman" w:hAnsi="Arial" w:cs="Arial"/>
          <w:sz w:val="20"/>
          <w:szCs w:val="20"/>
          <w:lang w:val="en-US" w:eastAsia="pt-BR"/>
        </w:rPr>
      </w:pPr>
      <w:r w:rsidRPr="004264B1">
        <w:rPr>
          <w:rFonts w:ascii="Arial" w:eastAsia="Times New Roman" w:hAnsi="Arial" w:cs="Arial"/>
          <w:b/>
          <w:bCs/>
          <w:sz w:val="20"/>
          <w:szCs w:val="20"/>
          <w:lang w:val="en-US" w:eastAsia="pt-BR"/>
        </w:rPr>
        <w:t>INTRODUCTION:</w:t>
      </w:r>
      <w:r w:rsidRPr="004264B1">
        <w:rPr>
          <w:rFonts w:ascii="Arial" w:eastAsia="Times New Roman" w:hAnsi="Arial" w:cs="Arial"/>
          <w:sz w:val="20"/>
          <w:szCs w:val="20"/>
          <w:lang w:val="en-US" w:eastAsia="pt-BR"/>
        </w:rPr>
        <w:t xml:space="preserve"> Brazil is the fourth largest consumer of chemical fertilizers worldwide, and due to recent geopolitical conflicts, the import costs of agricultural inputs have increased significantly each year. The intensive use of these products generates environmental impacts, such as biodiversity loss, emergence of resistant pests, and risks to human health. As a sustainable alternative, microbiological biofertilizers have emerged, capable of promoting plant growth at a lower cost compared to chemical fertilizers. The genus </w:t>
      </w:r>
      <w:proofErr w:type="spellStart"/>
      <w:r w:rsidRPr="004264B1">
        <w:rPr>
          <w:rFonts w:ascii="Arial" w:eastAsia="Times New Roman" w:hAnsi="Arial" w:cs="Arial"/>
          <w:i/>
          <w:iCs/>
          <w:sz w:val="20"/>
          <w:szCs w:val="20"/>
          <w:lang w:val="en-US" w:eastAsia="pt-BR"/>
        </w:rPr>
        <w:t>Priestia</w:t>
      </w:r>
      <w:proofErr w:type="spellEnd"/>
      <w:r w:rsidRPr="004264B1">
        <w:rPr>
          <w:rFonts w:ascii="Arial" w:eastAsia="Times New Roman" w:hAnsi="Arial" w:cs="Arial"/>
          <w:sz w:val="20"/>
          <w:szCs w:val="20"/>
          <w:lang w:val="en-US" w:eastAsia="pt-BR"/>
        </w:rPr>
        <w:t xml:space="preserve"> (formerly </w:t>
      </w:r>
      <w:r w:rsidRPr="004264B1">
        <w:rPr>
          <w:rFonts w:ascii="Arial" w:eastAsia="Times New Roman" w:hAnsi="Arial" w:cs="Arial"/>
          <w:i/>
          <w:iCs/>
          <w:sz w:val="20"/>
          <w:szCs w:val="20"/>
          <w:lang w:val="en-US" w:eastAsia="pt-BR"/>
        </w:rPr>
        <w:t>Bacillus</w:t>
      </w:r>
      <w:r w:rsidRPr="004264B1">
        <w:rPr>
          <w:rFonts w:ascii="Arial" w:eastAsia="Times New Roman" w:hAnsi="Arial" w:cs="Arial"/>
          <w:sz w:val="20"/>
          <w:szCs w:val="20"/>
          <w:lang w:val="en-US" w:eastAsia="pt-BR"/>
        </w:rPr>
        <w:t xml:space="preserve">) stands out in this context for its ability to form spores resistant to abiotic stresses and to produce phytohormones and secondary metabolites beneficial to plants. Despite these advantages, biofertilizers still present limitations, such as short shelf life, which underscores the importance of research on formulations containing surfactants, stabilizers, and novel carrier agents capable of prolonging microbial viability and facilitating application. </w:t>
      </w:r>
      <w:r w:rsidRPr="004264B1">
        <w:rPr>
          <w:rFonts w:ascii="Arial" w:eastAsia="Times New Roman" w:hAnsi="Arial" w:cs="Arial"/>
          <w:b/>
          <w:bCs/>
          <w:sz w:val="20"/>
          <w:szCs w:val="20"/>
          <w:lang w:val="en-US" w:eastAsia="pt-BR"/>
        </w:rPr>
        <w:t>OBJECTIVE:</w:t>
      </w:r>
      <w:r w:rsidRPr="004264B1">
        <w:rPr>
          <w:rFonts w:ascii="Arial" w:eastAsia="Times New Roman" w:hAnsi="Arial" w:cs="Arial"/>
          <w:sz w:val="20"/>
          <w:szCs w:val="20"/>
          <w:lang w:val="en-US" w:eastAsia="pt-BR"/>
        </w:rPr>
        <w:t xml:space="preserve"> This study aims to develop and validate solid biofertilizer formulations based on coffee husk powder containing </w:t>
      </w:r>
      <w:proofErr w:type="spellStart"/>
      <w:r w:rsidRPr="004264B1">
        <w:rPr>
          <w:rFonts w:ascii="Arial" w:eastAsia="Times New Roman" w:hAnsi="Arial" w:cs="Arial"/>
          <w:i/>
          <w:iCs/>
          <w:sz w:val="20"/>
          <w:szCs w:val="20"/>
          <w:lang w:val="en-US" w:eastAsia="pt-BR"/>
        </w:rPr>
        <w:t>Priestia</w:t>
      </w:r>
      <w:proofErr w:type="spellEnd"/>
      <w:r w:rsidRPr="004264B1">
        <w:rPr>
          <w:rFonts w:ascii="Arial" w:eastAsia="Times New Roman" w:hAnsi="Arial" w:cs="Arial"/>
          <w:i/>
          <w:iCs/>
          <w:sz w:val="20"/>
          <w:szCs w:val="20"/>
          <w:lang w:val="en-US" w:eastAsia="pt-BR"/>
        </w:rPr>
        <w:t xml:space="preserve"> sp.</w:t>
      </w:r>
      <w:r w:rsidRPr="004264B1">
        <w:rPr>
          <w:rFonts w:ascii="Arial" w:eastAsia="Times New Roman" w:hAnsi="Arial" w:cs="Arial"/>
          <w:sz w:val="20"/>
          <w:szCs w:val="20"/>
          <w:lang w:val="en-US" w:eastAsia="pt-BR"/>
        </w:rPr>
        <w:t>, evaluating their physicochemical characteristics and efficiency in tomato (</w:t>
      </w:r>
      <w:r w:rsidRPr="004264B1">
        <w:rPr>
          <w:rFonts w:ascii="Arial" w:eastAsia="Times New Roman" w:hAnsi="Arial" w:cs="Arial"/>
          <w:i/>
          <w:iCs/>
          <w:sz w:val="20"/>
          <w:szCs w:val="20"/>
          <w:lang w:val="en-US" w:eastAsia="pt-BR"/>
        </w:rPr>
        <w:t xml:space="preserve">Solanum </w:t>
      </w:r>
      <w:proofErr w:type="spellStart"/>
      <w:r w:rsidRPr="004264B1">
        <w:rPr>
          <w:rFonts w:ascii="Arial" w:eastAsia="Times New Roman" w:hAnsi="Arial" w:cs="Arial"/>
          <w:i/>
          <w:iCs/>
          <w:sz w:val="20"/>
          <w:szCs w:val="20"/>
          <w:lang w:val="en-US" w:eastAsia="pt-BR"/>
        </w:rPr>
        <w:t>lycopersicum</w:t>
      </w:r>
      <w:proofErr w:type="spellEnd"/>
      <w:r w:rsidRPr="004264B1">
        <w:rPr>
          <w:rFonts w:ascii="Arial" w:eastAsia="Times New Roman" w:hAnsi="Arial" w:cs="Arial"/>
          <w:sz w:val="20"/>
          <w:szCs w:val="20"/>
          <w:lang w:val="en-US" w:eastAsia="pt-BR"/>
        </w:rPr>
        <w:t xml:space="preserve"> L.) plants. </w:t>
      </w:r>
      <w:r w:rsidRPr="004264B1">
        <w:rPr>
          <w:rFonts w:ascii="Arial" w:eastAsia="Times New Roman" w:hAnsi="Arial" w:cs="Arial"/>
          <w:b/>
          <w:bCs/>
          <w:sz w:val="20"/>
          <w:szCs w:val="20"/>
          <w:lang w:val="en-US" w:eastAsia="pt-BR"/>
        </w:rPr>
        <w:t>METHODOLOGY:</w:t>
      </w:r>
      <w:r w:rsidRPr="004264B1">
        <w:rPr>
          <w:rFonts w:ascii="Arial" w:eastAsia="Times New Roman" w:hAnsi="Arial" w:cs="Arial"/>
          <w:sz w:val="20"/>
          <w:szCs w:val="20"/>
          <w:lang w:val="en-US" w:eastAsia="pt-BR"/>
        </w:rPr>
        <w:t xml:space="preserve"> The carrier material was prepared by milling and sieving coffee husk, resulting in a fine particulate substrate, which was then subjected to wettability, water solubility, and physicochemical analyses. Two formulations were tested: F1 (natural polymer + inorganic salt) and F2 (synthetic polymer + organic compound), both inoculated with </w:t>
      </w:r>
      <w:proofErr w:type="spellStart"/>
      <w:r w:rsidRPr="004264B1">
        <w:rPr>
          <w:rFonts w:ascii="Arial" w:eastAsia="Times New Roman" w:hAnsi="Arial" w:cs="Arial"/>
          <w:i/>
          <w:iCs/>
          <w:sz w:val="20"/>
          <w:szCs w:val="20"/>
          <w:lang w:val="en-US" w:eastAsia="pt-BR"/>
        </w:rPr>
        <w:t>Priestia</w:t>
      </w:r>
      <w:proofErr w:type="spellEnd"/>
      <w:r w:rsidRPr="004264B1">
        <w:rPr>
          <w:rFonts w:ascii="Arial" w:eastAsia="Times New Roman" w:hAnsi="Arial" w:cs="Arial"/>
          <w:i/>
          <w:iCs/>
          <w:sz w:val="20"/>
          <w:szCs w:val="20"/>
          <w:lang w:val="en-US" w:eastAsia="pt-BR"/>
        </w:rPr>
        <w:t xml:space="preserve"> sp.</w:t>
      </w:r>
      <w:r w:rsidRPr="004264B1">
        <w:rPr>
          <w:rFonts w:ascii="Arial" w:eastAsia="Times New Roman" w:hAnsi="Arial" w:cs="Arial"/>
          <w:sz w:val="20"/>
          <w:szCs w:val="20"/>
          <w:lang w:val="en-US" w:eastAsia="pt-BR"/>
        </w:rPr>
        <w:t xml:space="preserve"> and stored at 4 °C or 25 °C. Samples were collected monthly to quantify colony-forming units (CFU) and to assess plant growth promotion in inoculated and non-inoculated tomato plants after 60 days under greenhouse conditions. </w:t>
      </w:r>
      <w:r w:rsidRPr="004264B1">
        <w:rPr>
          <w:rFonts w:ascii="Arial" w:eastAsia="Times New Roman" w:hAnsi="Arial" w:cs="Arial"/>
          <w:b/>
          <w:bCs/>
          <w:sz w:val="20"/>
          <w:szCs w:val="20"/>
          <w:lang w:val="en-US" w:eastAsia="pt-BR"/>
        </w:rPr>
        <w:t>RESULTS AND DISCUSSION:</w:t>
      </w:r>
      <w:r w:rsidRPr="004264B1">
        <w:rPr>
          <w:rFonts w:ascii="Arial" w:eastAsia="Times New Roman" w:hAnsi="Arial" w:cs="Arial"/>
          <w:sz w:val="20"/>
          <w:szCs w:val="20"/>
          <w:lang w:val="en-US" w:eastAsia="pt-BR"/>
        </w:rPr>
        <w:t xml:space="preserve"> In the viability analysis, all treatments presented similar results in the first month, with values around 10⁸ CFU. Over time, F1 stored at 25 °C showed superior performance, maintaining approximately 10⁹ CFU even after four months, whereas F2 and the carrier alone (without formulation) decreased to 10⁴–10⁵ CFU. In greenhouse assays, F1 (25 °C) promoted a significant 60% increase in root dry weight and a 42% increase in root volume compared to the water control. The non-formulated biofertilizer also resulted in a 50% increase in shoot biomass. Other growth parameters, such as plant height, root length, fresh weight, and stem diameter, did not show significant improvements in any formulation treatments. The enhancement in root dry weight and root volume observed in F1 (25 °C) appears to be directly related to microbial survival, as also evidenced by the viability analysis. The formulation containing a natural polymer in combination with an inorganic salt likely improved microbial viability by acting as stabilizing agents, creating a protective barrier for microorganisms, buffering pH, and providing nutrients, thereby establishing a stable microenvironment within the biofertilizer. These findings demonstrate that optimized formulations play a critical role in enhancing microbial viability and improving the effectiveness of microbiological biofertilizers in promoting plant growth. </w:t>
      </w:r>
      <w:r w:rsidRPr="004264B1">
        <w:rPr>
          <w:rFonts w:ascii="Arial" w:eastAsia="Times New Roman" w:hAnsi="Arial" w:cs="Arial"/>
          <w:b/>
          <w:bCs/>
          <w:sz w:val="20"/>
          <w:szCs w:val="20"/>
          <w:lang w:val="en-US" w:eastAsia="pt-BR"/>
        </w:rPr>
        <w:t>CONCLUSIONS:</w:t>
      </w:r>
      <w:r w:rsidRPr="004264B1">
        <w:rPr>
          <w:rFonts w:ascii="Arial" w:eastAsia="Times New Roman" w:hAnsi="Arial" w:cs="Arial"/>
          <w:sz w:val="20"/>
          <w:szCs w:val="20"/>
          <w:lang w:val="en-US" w:eastAsia="pt-BR"/>
        </w:rPr>
        <w:t xml:space="preserve"> The formulation containing </w:t>
      </w:r>
      <w:proofErr w:type="spellStart"/>
      <w:r w:rsidRPr="004264B1">
        <w:rPr>
          <w:rFonts w:ascii="Arial" w:eastAsia="Times New Roman" w:hAnsi="Arial" w:cs="Arial"/>
          <w:i/>
          <w:iCs/>
          <w:sz w:val="20"/>
          <w:szCs w:val="20"/>
          <w:lang w:val="en-US" w:eastAsia="pt-BR"/>
        </w:rPr>
        <w:t>Priestia</w:t>
      </w:r>
      <w:proofErr w:type="spellEnd"/>
      <w:r w:rsidRPr="004264B1">
        <w:rPr>
          <w:rFonts w:ascii="Arial" w:eastAsia="Times New Roman" w:hAnsi="Arial" w:cs="Arial"/>
          <w:i/>
          <w:iCs/>
          <w:sz w:val="20"/>
          <w:szCs w:val="20"/>
          <w:lang w:val="en-US" w:eastAsia="pt-BR"/>
        </w:rPr>
        <w:t xml:space="preserve"> sp.</w:t>
      </w:r>
      <w:r w:rsidRPr="004264B1">
        <w:rPr>
          <w:rFonts w:ascii="Arial" w:eastAsia="Times New Roman" w:hAnsi="Arial" w:cs="Arial"/>
          <w:sz w:val="20"/>
          <w:szCs w:val="20"/>
          <w:lang w:val="en-US" w:eastAsia="pt-BR"/>
        </w:rPr>
        <w:t xml:space="preserve"> using coffee husk powder as a carrier agent demonstrated potential as an efficient and sustainable biofertilizer alternative, capable of improving root development and microbial stability under storage conditions.</w:t>
      </w:r>
    </w:p>
    <w:p w14:paraId="2D1F3305" w14:textId="41D028E3" w:rsidR="004264B1" w:rsidRPr="004264B1" w:rsidRDefault="004264B1" w:rsidP="004264B1">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sz w:val="18"/>
          <w:szCs w:val="18"/>
          <w:lang w:val="en-US" w:eastAsia="pt-BR"/>
        </w:rPr>
        <w:t>K</w:t>
      </w:r>
      <w:r w:rsidRPr="004264B1">
        <w:rPr>
          <w:rFonts w:ascii="Arial" w:eastAsia="Times New Roman" w:hAnsi="Arial" w:cs="Arial"/>
          <w:sz w:val="18"/>
          <w:szCs w:val="18"/>
          <w:lang w:val="en-US" w:eastAsia="pt-BR"/>
        </w:rPr>
        <w:t xml:space="preserve">eywords: </w:t>
      </w:r>
      <w:r w:rsidRPr="009E6ED0">
        <w:rPr>
          <w:rFonts w:ascii="Arial" w:eastAsia="Times New Roman" w:hAnsi="Arial" w:cs="Arial"/>
          <w:i/>
          <w:iCs/>
          <w:sz w:val="18"/>
          <w:szCs w:val="18"/>
          <w:lang w:val="en-US" w:eastAsia="pt-BR"/>
        </w:rPr>
        <w:t>F</w:t>
      </w:r>
      <w:r w:rsidRPr="004264B1">
        <w:rPr>
          <w:rFonts w:ascii="Arial" w:eastAsia="Times New Roman" w:hAnsi="Arial" w:cs="Arial"/>
          <w:i/>
          <w:iCs/>
          <w:sz w:val="18"/>
          <w:szCs w:val="18"/>
          <w:lang w:val="en-US" w:eastAsia="pt-BR"/>
        </w:rPr>
        <w:t xml:space="preserve">ormulations; </w:t>
      </w:r>
      <w:proofErr w:type="spellStart"/>
      <w:r w:rsidRPr="009E6ED0">
        <w:rPr>
          <w:rFonts w:ascii="Arial" w:eastAsia="Times New Roman" w:hAnsi="Arial" w:cs="Arial"/>
          <w:i/>
          <w:iCs/>
          <w:sz w:val="18"/>
          <w:szCs w:val="18"/>
          <w:lang w:val="en-US" w:eastAsia="pt-BR"/>
        </w:rPr>
        <w:t>B</w:t>
      </w:r>
      <w:r w:rsidRPr="004264B1">
        <w:rPr>
          <w:rFonts w:ascii="Arial" w:eastAsia="Times New Roman" w:hAnsi="Arial" w:cs="Arial"/>
          <w:i/>
          <w:iCs/>
          <w:sz w:val="18"/>
          <w:szCs w:val="18"/>
          <w:lang w:val="en-US" w:eastAsia="pt-BR"/>
        </w:rPr>
        <w:t>ioinputs</w:t>
      </w:r>
      <w:proofErr w:type="spellEnd"/>
      <w:r w:rsidRPr="004264B1">
        <w:rPr>
          <w:rFonts w:ascii="Arial" w:eastAsia="Times New Roman" w:hAnsi="Arial" w:cs="Arial"/>
          <w:i/>
          <w:iCs/>
          <w:sz w:val="18"/>
          <w:szCs w:val="18"/>
          <w:lang w:val="en-US" w:eastAsia="pt-BR"/>
        </w:rPr>
        <w:t xml:space="preserve">; </w:t>
      </w:r>
      <w:proofErr w:type="spellStart"/>
      <w:r w:rsidRPr="004264B1">
        <w:rPr>
          <w:rFonts w:ascii="Arial" w:eastAsia="Times New Roman" w:hAnsi="Arial" w:cs="Arial"/>
          <w:i/>
          <w:iCs/>
          <w:sz w:val="18"/>
          <w:szCs w:val="18"/>
          <w:lang w:val="en-US" w:eastAsia="pt-BR"/>
        </w:rPr>
        <w:t>Priestia</w:t>
      </w:r>
      <w:proofErr w:type="spellEnd"/>
      <w:r w:rsidRPr="004264B1">
        <w:rPr>
          <w:rFonts w:ascii="Arial" w:eastAsia="Times New Roman" w:hAnsi="Arial" w:cs="Arial"/>
          <w:i/>
          <w:iCs/>
          <w:sz w:val="18"/>
          <w:szCs w:val="18"/>
          <w:lang w:val="en-US" w:eastAsia="pt-BR"/>
        </w:rPr>
        <w:t xml:space="preserve"> sp.</w:t>
      </w:r>
    </w:p>
    <w:p w14:paraId="20F51232" w14:textId="22EDA5CB" w:rsidR="004264B1" w:rsidRPr="004264B1" w:rsidRDefault="004264B1" w:rsidP="004264B1">
      <w:pPr>
        <w:spacing w:before="100" w:beforeAutospacing="1" w:after="100" w:afterAutospacing="1" w:line="240" w:lineRule="auto"/>
        <w:jc w:val="both"/>
        <w:rPr>
          <w:rFonts w:ascii="Arial" w:eastAsia="Times New Roman" w:hAnsi="Arial" w:cs="Arial"/>
          <w:sz w:val="20"/>
          <w:szCs w:val="20"/>
          <w:lang w:val="en-US" w:eastAsia="pt-BR"/>
        </w:rPr>
      </w:pPr>
      <w:r>
        <w:rPr>
          <w:rFonts w:ascii="Arial" w:eastAsia="Times New Roman" w:hAnsi="Arial" w:cs="Arial"/>
          <w:sz w:val="20"/>
          <w:szCs w:val="20"/>
          <w:lang w:val="en-US" w:eastAsia="pt-BR"/>
        </w:rPr>
        <w:t>A</w:t>
      </w:r>
      <w:r w:rsidRPr="004264B1">
        <w:rPr>
          <w:rFonts w:ascii="Arial" w:eastAsia="Times New Roman" w:hAnsi="Arial" w:cs="Arial"/>
          <w:sz w:val="20"/>
          <w:szCs w:val="20"/>
          <w:lang w:val="en-US" w:eastAsia="pt-BR"/>
        </w:rPr>
        <w:t xml:space="preserve">cknowledgments: The authors would like to thank the </w:t>
      </w:r>
      <w:proofErr w:type="spellStart"/>
      <w:r w:rsidRPr="004264B1">
        <w:rPr>
          <w:rFonts w:ascii="Arial" w:eastAsia="Times New Roman" w:hAnsi="Arial" w:cs="Arial"/>
          <w:sz w:val="20"/>
          <w:szCs w:val="20"/>
          <w:lang w:val="en-US" w:eastAsia="pt-BR"/>
        </w:rPr>
        <w:t>Fundação</w:t>
      </w:r>
      <w:proofErr w:type="spellEnd"/>
      <w:r w:rsidRPr="004264B1">
        <w:rPr>
          <w:rFonts w:ascii="Arial" w:eastAsia="Times New Roman" w:hAnsi="Arial" w:cs="Arial"/>
          <w:sz w:val="20"/>
          <w:szCs w:val="20"/>
          <w:lang w:val="en-US" w:eastAsia="pt-BR"/>
        </w:rPr>
        <w:t xml:space="preserve"> de Amparo à Pesquisa e </w:t>
      </w:r>
      <w:proofErr w:type="spellStart"/>
      <w:r w:rsidRPr="004264B1">
        <w:rPr>
          <w:rFonts w:ascii="Arial" w:eastAsia="Times New Roman" w:hAnsi="Arial" w:cs="Arial"/>
          <w:sz w:val="20"/>
          <w:szCs w:val="20"/>
          <w:lang w:val="en-US" w:eastAsia="pt-BR"/>
        </w:rPr>
        <w:t>Inovação</w:t>
      </w:r>
      <w:proofErr w:type="spellEnd"/>
      <w:r w:rsidRPr="004264B1">
        <w:rPr>
          <w:rFonts w:ascii="Arial" w:eastAsia="Times New Roman" w:hAnsi="Arial" w:cs="Arial"/>
          <w:sz w:val="20"/>
          <w:szCs w:val="20"/>
          <w:lang w:val="en-US" w:eastAsia="pt-BR"/>
        </w:rPr>
        <w:t xml:space="preserve"> do Espírito Santo (FAPES) for the financial support, the Vila Velha University (UVV) for providing the infrastructure required for the development of this research, and </w:t>
      </w:r>
      <w:proofErr w:type="spellStart"/>
      <w:r w:rsidRPr="004264B1">
        <w:rPr>
          <w:rFonts w:ascii="Arial" w:eastAsia="Times New Roman" w:hAnsi="Arial" w:cs="Arial"/>
          <w:sz w:val="20"/>
          <w:szCs w:val="20"/>
          <w:lang w:val="en-US" w:eastAsia="pt-BR"/>
        </w:rPr>
        <w:t>SymbioTech</w:t>
      </w:r>
      <w:proofErr w:type="spellEnd"/>
      <w:r w:rsidRPr="004264B1">
        <w:rPr>
          <w:rFonts w:ascii="Arial" w:eastAsia="Times New Roman" w:hAnsi="Arial" w:cs="Arial"/>
          <w:sz w:val="20"/>
          <w:szCs w:val="20"/>
          <w:lang w:val="en-US" w:eastAsia="pt-BR"/>
        </w:rPr>
        <w:t xml:space="preserve"> for the technical support and supply of inputs for this study.</w:t>
      </w:r>
    </w:p>
    <w:p w14:paraId="26929FA9" w14:textId="1113264E" w:rsidR="009E6ED0" w:rsidRPr="006D211D" w:rsidRDefault="009E6ED0" w:rsidP="006D211D">
      <w:pPr>
        <w:pStyle w:val="Ttulo1"/>
        <w:rPr>
          <w:rFonts w:ascii="Arial" w:eastAsia="Times New Roman" w:hAnsi="Arial" w:cs="Arial"/>
          <w:b/>
          <w:bCs/>
          <w:color w:val="auto"/>
          <w:sz w:val="28"/>
          <w:szCs w:val="28"/>
          <w:lang w:val="en-US" w:eastAsia="pt-BR"/>
        </w:rPr>
      </w:pPr>
      <w:bookmarkStart w:id="8" w:name="_Toc211954565"/>
      <w:proofErr w:type="spellStart"/>
      <w:r w:rsidRPr="006D211D">
        <w:rPr>
          <w:rFonts w:ascii="Arial" w:eastAsia="Times New Roman" w:hAnsi="Arial" w:cs="Arial"/>
          <w:b/>
          <w:bCs/>
          <w:i/>
          <w:iCs/>
          <w:color w:val="auto"/>
          <w:sz w:val="28"/>
          <w:szCs w:val="28"/>
          <w:lang w:val="en-US" w:eastAsia="pt-BR"/>
        </w:rPr>
        <w:lastRenderedPageBreak/>
        <w:t>Matricaria</w:t>
      </w:r>
      <w:proofErr w:type="spellEnd"/>
      <w:r w:rsidRPr="006D211D">
        <w:rPr>
          <w:rFonts w:ascii="Arial" w:eastAsia="Times New Roman" w:hAnsi="Arial" w:cs="Arial"/>
          <w:b/>
          <w:bCs/>
          <w:i/>
          <w:iCs/>
          <w:color w:val="auto"/>
          <w:sz w:val="28"/>
          <w:szCs w:val="28"/>
          <w:lang w:val="en-US" w:eastAsia="pt-BR"/>
        </w:rPr>
        <w:t xml:space="preserve"> </w:t>
      </w:r>
      <w:r w:rsidR="006028C1" w:rsidRPr="006D211D">
        <w:rPr>
          <w:rFonts w:ascii="Arial" w:eastAsia="Times New Roman" w:hAnsi="Arial" w:cs="Arial"/>
          <w:b/>
          <w:bCs/>
          <w:i/>
          <w:iCs/>
          <w:color w:val="auto"/>
          <w:sz w:val="28"/>
          <w:szCs w:val="28"/>
          <w:lang w:val="en-US" w:eastAsia="pt-BR"/>
        </w:rPr>
        <w:t>chamomilla</w:t>
      </w:r>
      <w:r w:rsidR="006028C1" w:rsidRPr="006D211D">
        <w:rPr>
          <w:rFonts w:ascii="Arial" w:eastAsia="Times New Roman" w:hAnsi="Arial" w:cs="Arial"/>
          <w:b/>
          <w:bCs/>
          <w:color w:val="auto"/>
          <w:sz w:val="28"/>
          <w:szCs w:val="28"/>
          <w:lang w:val="en-US" w:eastAsia="pt-BR"/>
        </w:rPr>
        <w:t xml:space="preserve"> </w:t>
      </w:r>
      <w:r w:rsidRPr="006D211D">
        <w:rPr>
          <w:rFonts w:ascii="Arial" w:eastAsia="Times New Roman" w:hAnsi="Arial" w:cs="Arial"/>
          <w:b/>
          <w:bCs/>
          <w:color w:val="auto"/>
          <w:sz w:val="28"/>
          <w:szCs w:val="28"/>
          <w:lang w:val="en-US" w:eastAsia="pt-BR"/>
        </w:rPr>
        <w:t>L</w:t>
      </w:r>
      <w:r w:rsidR="006028C1" w:rsidRPr="006D211D">
        <w:rPr>
          <w:rFonts w:ascii="Arial" w:eastAsia="Times New Roman" w:hAnsi="Arial" w:cs="Arial"/>
          <w:b/>
          <w:bCs/>
          <w:color w:val="auto"/>
          <w:sz w:val="28"/>
          <w:szCs w:val="28"/>
          <w:lang w:val="en-US" w:eastAsia="pt-BR"/>
        </w:rPr>
        <w:t xml:space="preserve">. Extract Improves Longevity, Reduces Stress, and Preserves Feeding Function in an </w:t>
      </w:r>
      <w:r w:rsidRPr="006D211D">
        <w:rPr>
          <w:rFonts w:ascii="Arial" w:eastAsia="Times New Roman" w:hAnsi="Arial" w:cs="Arial"/>
          <w:b/>
          <w:bCs/>
          <w:color w:val="auto"/>
          <w:sz w:val="28"/>
          <w:szCs w:val="28"/>
          <w:lang w:val="en-US" w:eastAsia="pt-BR"/>
        </w:rPr>
        <w:t xml:space="preserve">Alzheimer’s </w:t>
      </w:r>
      <w:r w:rsidR="006028C1" w:rsidRPr="006D211D">
        <w:rPr>
          <w:rFonts w:ascii="Arial" w:eastAsia="Times New Roman" w:hAnsi="Arial" w:cs="Arial"/>
          <w:b/>
          <w:bCs/>
          <w:color w:val="auto"/>
          <w:sz w:val="28"/>
          <w:szCs w:val="28"/>
          <w:lang w:val="en-US" w:eastAsia="pt-BR"/>
        </w:rPr>
        <w:t>Model</w:t>
      </w:r>
      <w:bookmarkEnd w:id="8"/>
    </w:p>
    <w:p w14:paraId="6203EF7C" w14:textId="47FBAD0C" w:rsidR="009E6ED0" w:rsidRPr="009E6ED0" w:rsidRDefault="009E6ED0" w:rsidP="009E6ED0">
      <w:pPr>
        <w:spacing w:before="100" w:beforeAutospacing="1" w:after="100" w:afterAutospacing="1" w:line="240" w:lineRule="auto"/>
        <w:jc w:val="both"/>
        <w:rPr>
          <w:rFonts w:ascii="Arial" w:eastAsia="Times New Roman" w:hAnsi="Arial" w:cs="Arial"/>
          <w:sz w:val="20"/>
          <w:szCs w:val="20"/>
          <w:lang w:eastAsia="pt-BR"/>
        </w:rPr>
      </w:pPr>
      <w:r w:rsidRPr="009E6ED0">
        <w:rPr>
          <w:rFonts w:ascii="Arial" w:eastAsia="Times New Roman" w:hAnsi="Arial" w:cs="Arial"/>
          <w:b/>
          <w:bCs/>
          <w:sz w:val="20"/>
          <w:szCs w:val="20"/>
          <w:lang w:eastAsia="pt-BR"/>
        </w:rPr>
        <w:t xml:space="preserve">Guilherme Oliveira Lemos¹; Flavia Barbosa Rocha Malta¹; </w:t>
      </w:r>
      <w:proofErr w:type="spellStart"/>
      <w:r w:rsidRPr="009E6ED0">
        <w:rPr>
          <w:rFonts w:ascii="Arial" w:eastAsia="Times New Roman" w:hAnsi="Arial" w:cs="Arial"/>
          <w:b/>
          <w:bCs/>
          <w:sz w:val="20"/>
          <w:szCs w:val="20"/>
          <w:lang w:eastAsia="pt-BR"/>
        </w:rPr>
        <w:t>Maressa</w:t>
      </w:r>
      <w:proofErr w:type="spellEnd"/>
      <w:r w:rsidRPr="009E6ED0">
        <w:rPr>
          <w:rFonts w:ascii="Arial" w:eastAsia="Times New Roman" w:hAnsi="Arial" w:cs="Arial"/>
          <w:b/>
          <w:bCs/>
          <w:sz w:val="20"/>
          <w:szCs w:val="20"/>
          <w:lang w:eastAsia="pt-BR"/>
        </w:rPr>
        <w:t xml:space="preserve"> de Carvalho Fragoso¹; Tadeu </w:t>
      </w:r>
      <w:proofErr w:type="spellStart"/>
      <w:r w:rsidRPr="009E6ED0">
        <w:rPr>
          <w:rFonts w:ascii="Arial" w:eastAsia="Times New Roman" w:hAnsi="Arial" w:cs="Arial"/>
          <w:b/>
          <w:bCs/>
          <w:sz w:val="20"/>
          <w:szCs w:val="20"/>
          <w:lang w:eastAsia="pt-BR"/>
        </w:rPr>
        <w:t>Uggere</w:t>
      </w:r>
      <w:proofErr w:type="spellEnd"/>
      <w:r w:rsidRPr="009E6ED0">
        <w:rPr>
          <w:rFonts w:ascii="Arial" w:eastAsia="Times New Roman" w:hAnsi="Arial" w:cs="Arial"/>
          <w:b/>
          <w:bCs/>
          <w:sz w:val="20"/>
          <w:szCs w:val="20"/>
          <w:lang w:eastAsia="pt-BR"/>
        </w:rPr>
        <w:t xml:space="preserve"> de Andrade¹</w:t>
      </w:r>
      <w:r w:rsidRPr="009E6ED0">
        <w:rPr>
          <w:rFonts w:ascii="Arial" w:eastAsia="Times New Roman" w:hAnsi="Arial" w:cs="Arial"/>
          <w:sz w:val="20"/>
          <w:szCs w:val="20"/>
          <w:lang w:eastAsia="pt-BR"/>
        </w:rPr>
        <w:t>*</w:t>
      </w:r>
    </w:p>
    <w:p w14:paraId="4D4C5513" w14:textId="2F50D40E" w:rsidR="009E6ED0" w:rsidRPr="009E6ED0" w:rsidRDefault="009E6ED0" w:rsidP="009E6ED0">
      <w:pPr>
        <w:spacing w:before="100" w:beforeAutospacing="1" w:after="100" w:afterAutospacing="1" w:line="240" w:lineRule="auto"/>
        <w:jc w:val="both"/>
        <w:rPr>
          <w:rFonts w:ascii="Arial" w:eastAsia="Times New Roman" w:hAnsi="Arial" w:cs="Arial"/>
          <w:i/>
          <w:iCs/>
          <w:sz w:val="20"/>
          <w:szCs w:val="20"/>
          <w:lang w:eastAsia="pt-BR"/>
        </w:rPr>
      </w:pPr>
      <w:r w:rsidRPr="009E6ED0">
        <w:rPr>
          <w:rFonts w:ascii="Arial" w:eastAsia="Times New Roman" w:hAnsi="Arial" w:cs="Arial"/>
          <w:i/>
          <w:iCs/>
          <w:sz w:val="20"/>
          <w:szCs w:val="20"/>
          <w:lang w:eastAsia="pt-BR"/>
        </w:rPr>
        <w:t>*tadeu.uggere@uvv.br</w:t>
      </w:r>
    </w:p>
    <w:p w14:paraId="1B2D2E2A" w14:textId="77777777" w:rsidR="009E6ED0" w:rsidRPr="009E6ED0" w:rsidRDefault="009E6ED0" w:rsidP="009E6ED0">
      <w:pPr>
        <w:spacing w:before="100" w:beforeAutospacing="1" w:after="100" w:afterAutospacing="1" w:line="240" w:lineRule="auto"/>
        <w:jc w:val="both"/>
        <w:rPr>
          <w:rFonts w:ascii="Arial" w:eastAsia="Times New Roman" w:hAnsi="Arial" w:cs="Arial"/>
          <w:i/>
          <w:iCs/>
          <w:sz w:val="18"/>
          <w:szCs w:val="18"/>
          <w:lang w:eastAsia="pt-BR"/>
        </w:rPr>
      </w:pPr>
      <w:r w:rsidRPr="009E6ED0">
        <w:rPr>
          <w:rFonts w:ascii="Arial" w:eastAsia="Times New Roman" w:hAnsi="Arial" w:cs="Arial"/>
          <w:i/>
          <w:iCs/>
          <w:sz w:val="18"/>
          <w:szCs w:val="18"/>
          <w:lang w:eastAsia="pt-BR"/>
        </w:rPr>
        <w:t xml:space="preserve">¹Universidade Vila Velha (UVV), Vila Velha, ES, </w:t>
      </w:r>
      <w:proofErr w:type="spellStart"/>
      <w:r w:rsidRPr="009E6ED0">
        <w:rPr>
          <w:rFonts w:ascii="Arial" w:eastAsia="Times New Roman" w:hAnsi="Arial" w:cs="Arial"/>
          <w:i/>
          <w:iCs/>
          <w:sz w:val="18"/>
          <w:szCs w:val="18"/>
          <w:lang w:eastAsia="pt-BR"/>
        </w:rPr>
        <w:t>Brazil</w:t>
      </w:r>
      <w:proofErr w:type="spellEnd"/>
    </w:p>
    <w:p w14:paraId="3036CF7D" w14:textId="60674C69" w:rsidR="009E6ED0" w:rsidRPr="009E6ED0" w:rsidRDefault="009E6ED0" w:rsidP="009E6ED0">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b/>
          <w:bCs/>
          <w:sz w:val="18"/>
          <w:szCs w:val="18"/>
          <w:lang w:val="en-US" w:eastAsia="pt-BR"/>
        </w:rPr>
        <w:t>Thematic Session:</w:t>
      </w:r>
      <w:r w:rsidRPr="009E6ED0">
        <w:rPr>
          <w:rFonts w:ascii="Arial" w:eastAsia="Times New Roman" w:hAnsi="Arial" w:cs="Arial"/>
          <w:sz w:val="18"/>
          <w:szCs w:val="18"/>
          <w:lang w:val="en-US" w:eastAsia="pt-BR"/>
        </w:rPr>
        <w:t xml:space="preserve"> Natural Products: Chemical, Biological, and Application Aspects.</w:t>
      </w:r>
    </w:p>
    <w:p w14:paraId="66C8A518" w14:textId="5DC0A17F" w:rsidR="009E6ED0" w:rsidRPr="009E6ED0" w:rsidRDefault="009E6ED0" w:rsidP="009E6ED0">
      <w:pPr>
        <w:spacing w:before="100" w:beforeAutospacing="1" w:after="100" w:afterAutospacing="1" w:line="240" w:lineRule="auto"/>
        <w:jc w:val="both"/>
        <w:rPr>
          <w:rFonts w:ascii="Arial" w:eastAsia="Times New Roman" w:hAnsi="Arial" w:cs="Arial"/>
          <w:sz w:val="20"/>
          <w:szCs w:val="20"/>
          <w:lang w:val="en-US" w:eastAsia="pt-BR"/>
        </w:rPr>
      </w:pPr>
      <w:r w:rsidRPr="009E6ED0">
        <w:rPr>
          <w:rFonts w:ascii="Arial" w:eastAsia="Times New Roman" w:hAnsi="Arial" w:cs="Arial"/>
          <w:b/>
          <w:bCs/>
          <w:sz w:val="20"/>
          <w:szCs w:val="20"/>
          <w:lang w:val="en-US" w:eastAsia="pt-BR"/>
        </w:rPr>
        <w:t>INTRODUCTION:</w:t>
      </w:r>
      <w:r w:rsidRPr="009E6ED0">
        <w:rPr>
          <w:rFonts w:ascii="Arial" w:eastAsia="Times New Roman" w:hAnsi="Arial" w:cs="Arial"/>
          <w:sz w:val="20"/>
          <w:szCs w:val="20"/>
          <w:lang w:val="en-US" w:eastAsia="pt-BR"/>
        </w:rPr>
        <w:t xml:space="preserve"> It is known that the aging process is directly associated with the loss of functions in the human body, which may result from chronic inflammation and oxidative stress, thereby favoring the onset of diseases. Among the chronic conditions that affect the elderly population, Alzheimer’s disease (AD) stands out. In this context, </w:t>
      </w:r>
      <w:proofErr w:type="spellStart"/>
      <w:r w:rsidRPr="009E6ED0">
        <w:rPr>
          <w:rFonts w:ascii="Arial" w:eastAsia="Times New Roman" w:hAnsi="Arial" w:cs="Arial"/>
          <w:i/>
          <w:iCs/>
          <w:sz w:val="20"/>
          <w:szCs w:val="20"/>
          <w:lang w:val="en-US" w:eastAsia="pt-BR"/>
        </w:rPr>
        <w:t>Matricaria</w:t>
      </w:r>
      <w:proofErr w:type="spellEnd"/>
      <w:r w:rsidRPr="009E6ED0">
        <w:rPr>
          <w:rFonts w:ascii="Arial" w:eastAsia="Times New Roman" w:hAnsi="Arial" w:cs="Arial"/>
          <w:i/>
          <w:iCs/>
          <w:sz w:val="20"/>
          <w:szCs w:val="20"/>
          <w:lang w:val="en-US" w:eastAsia="pt-BR"/>
        </w:rPr>
        <w:t xml:space="preserve"> chamomilla</w:t>
      </w:r>
      <w:r w:rsidRPr="009E6ED0">
        <w:rPr>
          <w:rFonts w:ascii="Arial" w:eastAsia="Times New Roman" w:hAnsi="Arial" w:cs="Arial"/>
          <w:sz w:val="20"/>
          <w:szCs w:val="20"/>
          <w:lang w:val="en-US" w:eastAsia="pt-BR"/>
        </w:rPr>
        <w:t xml:space="preserve"> L., traditionally used for its calming properties, has emerged as a source of antioxidant compounds with potential </w:t>
      </w:r>
      <w:proofErr w:type="spellStart"/>
      <w:r w:rsidRPr="009E6ED0">
        <w:rPr>
          <w:rFonts w:ascii="Arial" w:eastAsia="Times New Roman" w:hAnsi="Arial" w:cs="Arial"/>
          <w:sz w:val="20"/>
          <w:szCs w:val="20"/>
          <w:lang w:val="en-US" w:eastAsia="pt-BR"/>
        </w:rPr>
        <w:t>geroprotective</w:t>
      </w:r>
      <w:proofErr w:type="spellEnd"/>
      <w:r w:rsidRPr="009E6ED0">
        <w:rPr>
          <w:rFonts w:ascii="Arial" w:eastAsia="Times New Roman" w:hAnsi="Arial" w:cs="Arial"/>
          <w:sz w:val="20"/>
          <w:szCs w:val="20"/>
          <w:lang w:val="en-US" w:eastAsia="pt-BR"/>
        </w:rPr>
        <w:t xml:space="preserve"> effects. </w:t>
      </w:r>
      <w:r w:rsidRPr="009E6ED0">
        <w:rPr>
          <w:rFonts w:ascii="Arial" w:eastAsia="Times New Roman" w:hAnsi="Arial" w:cs="Arial"/>
          <w:i/>
          <w:iCs/>
          <w:sz w:val="20"/>
          <w:szCs w:val="20"/>
          <w:lang w:val="en-US" w:eastAsia="pt-BR"/>
        </w:rPr>
        <w:t>Caenorhabditis elegans</w:t>
      </w:r>
      <w:r w:rsidRPr="009E6ED0">
        <w:rPr>
          <w:rFonts w:ascii="Arial" w:eastAsia="Times New Roman" w:hAnsi="Arial" w:cs="Arial"/>
          <w:sz w:val="20"/>
          <w:szCs w:val="20"/>
          <w:lang w:val="en-US" w:eastAsia="pt-BR"/>
        </w:rPr>
        <w:t xml:space="preserve"> are nematodes widely used as an experimental model for studies on longevity and oxidative stress due to their simplicity, short life cycle, and conservation of molecular pathways. The transgenic strain CL2355 expresses human A</w:t>
      </w:r>
      <w:r w:rsidRPr="009E6ED0">
        <w:rPr>
          <w:rFonts w:ascii="Arial" w:eastAsia="Times New Roman" w:hAnsi="Arial" w:cs="Arial"/>
          <w:sz w:val="20"/>
          <w:szCs w:val="20"/>
          <w:lang w:eastAsia="pt-BR"/>
        </w:rPr>
        <w:t>β</w:t>
      </w:r>
      <w:r w:rsidRPr="009E6ED0">
        <w:rPr>
          <w:rFonts w:ascii="Arial" w:eastAsia="Times New Roman" w:hAnsi="Arial" w:cs="Arial"/>
          <w:sz w:val="20"/>
          <w:szCs w:val="20"/>
          <w:lang w:val="en-US" w:eastAsia="pt-BR"/>
        </w:rPr>
        <w:t xml:space="preserve">1-42 under thermal control, allowing the simulation of neuronal toxicity similar to that observed in AD. </w:t>
      </w:r>
      <w:r w:rsidRPr="009E6ED0">
        <w:rPr>
          <w:rFonts w:ascii="Arial" w:eastAsia="Times New Roman" w:hAnsi="Arial" w:cs="Arial"/>
          <w:b/>
          <w:bCs/>
          <w:sz w:val="20"/>
          <w:szCs w:val="20"/>
          <w:lang w:val="en-US" w:eastAsia="pt-BR"/>
        </w:rPr>
        <w:t>OBJECTIVE:</w:t>
      </w:r>
      <w:r w:rsidRPr="009E6ED0">
        <w:rPr>
          <w:rFonts w:ascii="Arial" w:eastAsia="Times New Roman" w:hAnsi="Arial" w:cs="Arial"/>
          <w:sz w:val="20"/>
          <w:szCs w:val="20"/>
          <w:lang w:val="en-US" w:eastAsia="pt-BR"/>
        </w:rPr>
        <w:t xml:space="preserve"> This study evaluated the effects of </w:t>
      </w:r>
      <w:r w:rsidRPr="009E6ED0">
        <w:rPr>
          <w:rFonts w:ascii="Arial" w:eastAsia="Times New Roman" w:hAnsi="Arial" w:cs="Arial"/>
          <w:i/>
          <w:iCs/>
          <w:sz w:val="20"/>
          <w:szCs w:val="20"/>
          <w:lang w:val="en-US" w:eastAsia="pt-BR"/>
        </w:rPr>
        <w:t>M. chamomilla</w:t>
      </w:r>
      <w:r w:rsidRPr="009E6ED0">
        <w:rPr>
          <w:rFonts w:ascii="Arial" w:eastAsia="Times New Roman" w:hAnsi="Arial" w:cs="Arial"/>
          <w:sz w:val="20"/>
          <w:szCs w:val="20"/>
          <w:lang w:val="en-US" w:eastAsia="pt-BR"/>
        </w:rPr>
        <w:t xml:space="preserve"> dry extract (100 mg/mL), standardized to 1.2% apigenin, on parameters of longevity, oxidative stress, thermal stress, and pharyngeal pumping in </w:t>
      </w:r>
      <w:r w:rsidRPr="009E6ED0">
        <w:rPr>
          <w:rFonts w:ascii="Arial" w:eastAsia="Times New Roman" w:hAnsi="Arial" w:cs="Arial"/>
          <w:i/>
          <w:iCs/>
          <w:sz w:val="20"/>
          <w:szCs w:val="20"/>
          <w:lang w:val="en-US" w:eastAsia="pt-BR"/>
        </w:rPr>
        <w:t>Caenorhabditis elegans</w:t>
      </w:r>
      <w:r w:rsidRPr="009E6ED0">
        <w:rPr>
          <w:rFonts w:ascii="Arial" w:eastAsia="Times New Roman" w:hAnsi="Arial" w:cs="Arial"/>
          <w:sz w:val="20"/>
          <w:szCs w:val="20"/>
          <w:lang w:val="en-US" w:eastAsia="pt-BR"/>
        </w:rPr>
        <w:t xml:space="preserve"> (strain CL2355), an experimental model of Alzheimer’s disease. </w:t>
      </w:r>
      <w:r w:rsidRPr="009E6ED0">
        <w:rPr>
          <w:rFonts w:ascii="Arial" w:eastAsia="Times New Roman" w:hAnsi="Arial" w:cs="Arial"/>
          <w:b/>
          <w:bCs/>
          <w:sz w:val="20"/>
          <w:szCs w:val="20"/>
          <w:lang w:val="en-US" w:eastAsia="pt-BR"/>
        </w:rPr>
        <w:t>METHODOLOGY:</w:t>
      </w:r>
      <w:r w:rsidRPr="009E6ED0">
        <w:rPr>
          <w:rFonts w:ascii="Arial" w:eastAsia="Times New Roman" w:hAnsi="Arial" w:cs="Arial"/>
          <w:sz w:val="20"/>
          <w:szCs w:val="20"/>
          <w:lang w:val="en-US" w:eastAsia="pt-BR"/>
        </w:rPr>
        <w:t xml:space="preserve"> Synchronized </w:t>
      </w:r>
      <w:r w:rsidRPr="009E6ED0">
        <w:rPr>
          <w:rFonts w:ascii="Arial" w:eastAsia="Times New Roman" w:hAnsi="Arial" w:cs="Arial"/>
          <w:i/>
          <w:iCs/>
          <w:sz w:val="20"/>
          <w:szCs w:val="20"/>
          <w:lang w:val="en-US" w:eastAsia="pt-BR"/>
        </w:rPr>
        <w:t>C. elegans</w:t>
      </w:r>
      <w:r w:rsidRPr="009E6ED0">
        <w:rPr>
          <w:rFonts w:ascii="Arial" w:eastAsia="Times New Roman" w:hAnsi="Arial" w:cs="Arial"/>
          <w:sz w:val="20"/>
          <w:szCs w:val="20"/>
          <w:lang w:val="en-US" w:eastAsia="pt-BR"/>
        </w:rPr>
        <w:t xml:space="preserve"> at the same larval stage were treated with </w:t>
      </w:r>
      <w:proofErr w:type="spellStart"/>
      <w:r w:rsidRPr="009E6ED0">
        <w:rPr>
          <w:rFonts w:ascii="Arial" w:eastAsia="Times New Roman" w:hAnsi="Arial" w:cs="Arial"/>
          <w:i/>
          <w:iCs/>
          <w:sz w:val="20"/>
          <w:szCs w:val="20"/>
          <w:lang w:val="en-US" w:eastAsia="pt-BR"/>
        </w:rPr>
        <w:t>Matricaria</w:t>
      </w:r>
      <w:proofErr w:type="spellEnd"/>
      <w:r w:rsidRPr="009E6ED0">
        <w:rPr>
          <w:rFonts w:ascii="Arial" w:eastAsia="Times New Roman" w:hAnsi="Arial" w:cs="Arial"/>
          <w:i/>
          <w:iCs/>
          <w:sz w:val="20"/>
          <w:szCs w:val="20"/>
          <w:lang w:val="en-US" w:eastAsia="pt-BR"/>
        </w:rPr>
        <w:t xml:space="preserve"> chamomilla</w:t>
      </w:r>
      <w:r w:rsidRPr="009E6ED0">
        <w:rPr>
          <w:rFonts w:ascii="Arial" w:eastAsia="Times New Roman" w:hAnsi="Arial" w:cs="Arial"/>
          <w:sz w:val="20"/>
          <w:szCs w:val="20"/>
          <w:lang w:val="en-US" w:eastAsia="pt-BR"/>
        </w:rPr>
        <w:t xml:space="preserve"> L. extract (100 mg/mL), and longevity parameters were evaluated by survival counting until all worms were considered dead. The quantification of reactive oxygen species was performed using the fluorescent probe H2DCFDA, and fluorescence intensity was measured with a microplate reader. For thermal stress assays, approximately 60 worms from each group (treated and control) were incubated at 37 °C in an incubator, and survival was assessed at intervals of 30 minutes, 2 h, 4 h, and 6 h under a microscope by counting live and dead worms. Feeding behavior was evaluated through pharyngeal pumping. </w:t>
      </w:r>
      <w:r w:rsidRPr="009E6ED0">
        <w:rPr>
          <w:rFonts w:ascii="Arial" w:eastAsia="Times New Roman" w:hAnsi="Arial" w:cs="Arial"/>
          <w:b/>
          <w:bCs/>
          <w:sz w:val="20"/>
          <w:szCs w:val="20"/>
          <w:lang w:val="en-US" w:eastAsia="pt-BR"/>
        </w:rPr>
        <w:t>RESULTS AND DISCUSSION:</w:t>
      </w:r>
      <w:r w:rsidRPr="009E6ED0">
        <w:rPr>
          <w:rFonts w:ascii="Arial" w:eastAsia="Times New Roman" w:hAnsi="Arial" w:cs="Arial"/>
          <w:sz w:val="20"/>
          <w:szCs w:val="20"/>
          <w:lang w:val="en-US" w:eastAsia="pt-BR"/>
        </w:rPr>
        <w:t xml:space="preserve"> Treatment with the extract increased the maximum lifespan of the nematodes from 24 to 36 days. In addition, it promoted a reduction of 90,000 absolute units in fluorescence associated with reactive oxygen species, indicating lower oxidative stress. Under thermal stress conditions, treated animals showed a significantly higher survival rate compared to the control group. An increase in pharyngeal pumping rate was also observed (29.70 vs. 26.20 bpm; p = 0.0106), suggesting an improvement in feeding activity. </w:t>
      </w:r>
      <w:r w:rsidRPr="009E6ED0">
        <w:rPr>
          <w:rFonts w:ascii="Arial" w:eastAsia="Times New Roman" w:hAnsi="Arial" w:cs="Arial"/>
          <w:b/>
          <w:bCs/>
          <w:sz w:val="20"/>
          <w:szCs w:val="20"/>
          <w:lang w:val="en-US" w:eastAsia="pt-BR"/>
        </w:rPr>
        <w:t>CONCLUSION:</w:t>
      </w:r>
      <w:r w:rsidRPr="009E6ED0">
        <w:rPr>
          <w:rFonts w:ascii="Arial" w:eastAsia="Times New Roman" w:hAnsi="Arial" w:cs="Arial"/>
          <w:sz w:val="20"/>
          <w:szCs w:val="20"/>
          <w:lang w:val="en-US" w:eastAsia="pt-BR"/>
        </w:rPr>
        <w:t xml:space="preserve"> These results highlight the positive effects of </w:t>
      </w:r>
      <w:r w:rsidRPr="009E6ED0">
        <w:rPr>
          <w:rFonts w:ascii="Arial" w:eastAsia="Times New Roman" w:hAnsi="Arial" w:cs="Arial"/>
          <w:i/>
          <w:iCs/>
          <w:sz w:val="20"/>
          <w:szCs w:val="20"/>
          <w:lang w:val="en-US" w:eastAsia="pt-BR"/>
        </w:rPr>
        <w:t>M. chamomilla</w:t>
      </w:r>
      <w:r w:rsidRPr="009E6ED0">
        <w:rPr>
          <w:rFonts w:ascii="Arial" w:eastAsia="Times New Roman" w:hAnsi="Arial" w:cs="Arial"/>
          <w:sz w:val="20"/>
          <w:szCs w:val="20"/>
          <w:lang w:val="en-US" w:eastAsia="pt-BR"/>
        </w:rPr>
        <w:t xml:space="preserve"> in modulating cellular stress and promoting longevity, reinforcing its potential as a functional agent in the context of aging and neurodegeneration.</w:t>
      </w:r>
    </w:p>
    <w:p w14:paraId="55AC4538" w14:textId="75EB44F0" w:rsidR="009E6ED0" w:rsidRPr="009E6ED0" w:rsidRDefault="009E6ED0" w:rsidP="009E6ED0">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sz w:val="18"/>
          <w:szCs w:val="18"/>
          <w:lang w:val="en-US" w:eastAsia="pt-BR"/>
        </w:rPr>
        <w:t xml:space="preserve">Keywords: </w:t>
      </w:r>
      <w:r w:rsidRPr="009E6ED0">
        <w:rPr>
          <w:rFonts w:ascii="Arial" w:eastAsia="Times New Roman" w:hAnsi="Arial" w:cs="Arial"/>
          <w:i/>
          <w:iCs/>
          <w:sz w:val="18"/>
          <w:szCs w:val="18"/>
          <w:lang w:val="en-US" w:eastAsia="pt-BR"/>
        </w:rPr>
        <w:t>apigenin; neuroprotection; aging; Alzheimer’s disease.</w:t>
      </w:r>
    </w:p>
    <w:p w14:paraId="4CE84D62" w14:textId="77777777" w:rsidR="009E6ED0" w:rsidRPr="009E6ED0" w:rsidRDefault="009E6ED0" w:rsidP="009E6ED0">
      <w:pPr>
        <w:spacing w:before="100" w:beforeAutospacing="1" w:after="100" w:afterAutospacing="1" w:line="240" w:lineRule="auto"/>
        <w:jc w:val="both"/>
        <w:rPr>
          <w:rFonts w:ascii="Arial" w:eastAsia="Times New Roman" w:hAnsi="Arial" w:cs="Arial"/>
          <w:sz w:val="20"/>
          <w:szCs w:val="20"/>
          <w:lang w:val="en-US" w:eastAsia="pt-BR"/>
        </w:rPr>
      </w:pPr>
      <w:r w:rsidRPr="009E6ED0">
        <w:rPr>
          <w:rFonts w:ascii="Arial" w:eastAsia="Times New Roman" w:hAnsi="Arial" w:cs="Arial"/>
          <w:sz w:val="20"/>
          <w:szCs w:val="20"/>
          <w:lang w:val="en-US" w:eastAsia="pt-BR"/>
        </w:rPr>
        <w:t>Acknowledgments: UVV, FAPES, CAPES.</w:t>
      </w:r>
    </w:p>
    <w:p w14:paraId="62E4FCF0" w14:textId="58C9CB08" w:rsidR="00A01489" w:rsidRPr="009C10C5" w:rsidRDefault="00A01489" w:rsidP="00167A03">
      <w:pPr>
        <w:jc w:val="center"/>
        <w:rPr>
          <w:rFonts w:ascii="Arial" w:hAnsi="Arial" w:cs="Arial"/>
          <w:sz w:val="30"/>
          <w:szCs w:val="30"/>
          <w:lang w:val="en-US"/>
        </w:rPr>
      </w:pPr>
    </w:p>
    <w:p w14:paraId="74E48D59" w14:textId="77777777" w:rsidR="00A01489" w:rsidRPr="009C10C5" w:rsidRDefault="00A01489" w:rsidP="00167A03">
      <w:pPr>
        <w:jc w:val="center"/>
        <w:rPr>
          <w:rFonts w:ascii="Arial" w:hAnsi="Arial" w:cs="Arial"/>
          <w:sz w:val="30"/>
          <w:szCs w:val="30"/>
          <w:lang w:val="en-US"/>
        </w:rPr>
      </w:pPr>
    </w:p>
    <w:p w14:paraId="10282D5E" w14:textId="77777777" w:rsidR="00A01489" w:rsidRPr="009C10C5" w:rsidRDefault="00A01489" w:rsidP="00167A03">
      <w:pPr>
        <w:jc w:val="center"/>
        <w:rPr>
          <w:rFonts w:ascii="Arial" w:hAnsi="Arial" w:cs="Arial"/>
          <w:sz w:val="30"/>
          <w:szCs w:val="30"/>
          <w:lang w:val="en-US"/>
        </w:rPr>
      </w:pPr>
    </w:p>
    <w:p w14:paraId="5C1AC788" w14:textId="77777777" w:rsidR="00A01489" w:rsidRPr="009C10C5" w:rsidRDefault="00A01489" w:rsidP="00167A03">
      <w:pPr>
        <w:jc w:val="center"/>
        <w:rPr>
          <w:rFonts w:ascii="Arial" w:hAnsi="Arial" w:cs="Arial"/>
          <w:sz w:val="30"/>
          <w:szCs w:val="30"/>
          <w:lang w:val="en-US"/>
        </w:rPr>
      </w:pPr>
    </w:p>
    <w:p w14:paraId="2922257C" w14:textId="77777777" w:rsidR="00A82069" w:rsidRPr="009C10C5" w:rsidRDefault="00A82069" w:rsidP="00167A03">
      <w:pPr>
        <w:spacing w:after="0" w:line="240" w:lineRule="auto"/>
        <w:rPr>
          <w:rFonts w:ascii="Arial" w:hAnsi="Arial" w:cs="Arial"/>
          <w:b/>
          <w:sz w:val="24"/>
          <w:szCs w:val="24"/>
          <w:lang w:val="en-US"/>
        </w:rPr>
      </w:pPr>
    </w:p>
    <w:p w14:paraId="5AF82606" w14:textId="13478A41" w:rsidR="009E6ED0" w:rsidRPr="006D211D" w:rsidRDefault="009E6ED0" w:rsidP="006D211D">
      <w:pPr>
        <w:pStyle w:val="Ttulo1"/>
        <w:rPr>
          <w:rFonts w:ascii="Arial" w:eastAsia="Times New Roman" w:hAnsi="Arial" w:cs="Arial"/>
          <w:b/>
          <w:bCs/>
          <w:color w:val="auto"/>
          <w:sz w:val="28"/>
          <w:szCs w:val="28"/>
          <w:lang w:val="en-US" w:eastAsia="pt-BR"/>
        </w:rPr>
      </w:pPr>
      <w:bookmarkStart w:id="9" w:name="_Toc211954566"/>
      <w:r w:rsidRPr="006D211D">
        <w:rPr>
          <w:rFonts w:ascii="Arial" w:eastAsia="Times New Roman" w:hAnsi="Arial" w:cs="Arial"/>
          <w:b/>
          <w:bCs/>
          <w:color w:val="auto"/>
          <w:sz w:val="28"/>
          <w:szCs w:val="28"/>
          <w:lang w:val="en-US" w:eastAsia="pt-BR"/>
        </w:rPr>
        <w:lastRenderedPageBreak/>
        <w:t xml:space="preserve">Effect </w:t>
      </w:r>
      <w:r w:rsidR="006028C1" w:rsidRPr="006D211D">
        <w:rPr>
          <w:rFonts w:ascii="Arial" w:eastAsia="Times New Roman" w:hAnsi="Arial" w:cs="Arial"/>
          <w:b/>
          <w:bCs/>
          <w:color w:val="auto"/>
          <w:sz w:val="28"/>
          <w:szCs w:val="28"/>
          <w:lang w:val="en-US" w:eastAsia="pt-BR"/>
        </w:rPr>
        <w:t xml:space="preserve">of Milk Kefir Treatment on </w:t>
      </w:r>
      <w:r w:rsidRPr="006D211D">
        <w:rPr>
          <w:rFonts w:ascii="Arial" w:eastAsia="Times New Roman" w:hAnsi="Arial" w:cs="Arial"/>
          <w:b/>
          <w:bCs/>
          <w:color w:val="auto"/>
          <w:sz w:val="28"/>
          <w:szCs w:val="28"/>
          <w:lang w:val="en-US" w:eastAsia="pt-BR"/>
        </w:rPr>
        <w:t>DSS</w:t>
      </w:r>
      <w:r w:rsidR="006028C1" w:rsidRPr="006D211D">
        <w:rPr>
          <w:rFonts w:ascii="Arial" w:eastAsia="Times New Roman" w:hAnsi="Arial" w:cs="Arial"/>
          <w:b/>
          <w:bCs/>
          <w:color w:val="auto"/>
          <w:sz w:val="28"/>
          <w:szCs w:val="28"/>
          <w:lang w:val="en-US" w:eastAsia="pt-BR"/>
        </w:rPr>
        <w:t>-Induced Ulcerative Colitis: Exploring its Mechanisms of Action</w:t>
      </w:r>
      <w:bookmarkEnd w:id="9"/>
    </w:p>
    <w:p w14:paraId="7CD78CF7" w14:textId="36F74AC1" w:rsidR="009E6ED0" w:rsidRPr="009E6ED0" w:rsidRDefault="009E6ED0" w:rsidP="009E6ED0">
      <w:pPr>
        <w:spacing w:before="100" w:beforeAutospacing="1" w:after="100" w:afterAutospacing="1" w:line="240" w:lineRule="auto"/>
        <w:jc w:val="both"/>
        <w:rPr>
          <w:rFonts w:ascii="Arial" w:eastAsia="Times New Roman" w:hAnsi="Arial" w:cs="Arial"/>
          <w:b/>
          <w:bCs/>
          <w:sz w:val="20"/>
          <w:szCs w:val="20"/>
          <w:lang w:eastAsia="pt-BR"/>
        </w:rPr>
      </w:pPr>
      <w:r w:rsidRPr="009E6ED0">
        <w:rPr>
          <w:rFonts w:ascii="Arial" w:eastAsia="Times New Roman" w:hAnsi="Arial" w:cs="Arial"/>
          <w:b/>
          <w:bCs/>
          <w:sz w:val="20"/>
          <w:szCs w:val="20"/>
          <w:lang w:eastAsia="pt-BR"/>
        </w:rPr>
        <w:t xml:space="preserve">Larissa </w:t>
      </w:r>
      <w:proofErr w:type="spellStart"/>
      <w:r w:rsidRPr="009E6ED0">
        <w:rPr>
          <w:rFonts w:ascii="Arial" w:eastAsia="Times New Roman" w:hAnsi="Arial" w:cs="Arial"/>
          <w:b/>
          <w:bCs/>
          <w:sz w:val="20"/>
          <w:szCs w:val="20"/>
          <w:lang w:eastAsia="pt-BR"/>
        </w:rPr>
        <w:t>Zambom</w:t>
      </w:r>
      <w:proofErr w:type="spellEnd"/>
      <w:r w:rsidRPr="009E6ED0">
        <w:rPr>
          <w:rFonts w:ascii="Arial" w:eastAsia="Times New Roman" w:hAnsi="Arial" w:cs="Arial"/>
          <w:b/>
          <w:bCs/>
          <w:sz w:val="20"/>
          <w:szCs w:val="20"/>
          <w:lang w:eastAsia="pt-BR"/>
        </w:rPr>
        <w:t xml:space="preserve"> Côco</w:t>
      </w:r>
      <w:proofErr w:type="gramStart"/>
      <w:r w:rsidRPr="009E6ED0">
        <w:rPr>
          <w:rFonts w:ascii="Arial" w:eastAsia="Times New Roman" w:hAnsi="Arial" w:cs="Arial"/>
          <w:b/>
          <w:bCs/>
          <w:sz w:val="20"/>
          <w:szCs w:val="20"/>
          <w:lang w:eastAsia="pt-BR"/>
        </w:rPr>
        <w:t>¹</w:t>
      </w:r>
      <w:r w:rsidRPr="009E6ED0">
        <w:rPr>
          <w:rFonts w:ascii="Arial" w:eastAsia="Times New Roman" w:hAnsi="Arial" w:cs="Arial"/>
          <w:b/>
          <w:bCs/>
          <w:sz w:val="20"/>
          <w:szCs w:val="20"/>
          <w:vertAlign w:val="superscript"/>
          <w:lang w:eastAsia="pt-BR"/>
        </w:rPr>
        <w:t>,</w:t>
      </w:r>
      <w:r w:rsidRPr="009E6ED0">
        <w:rPr>
          <w:rFonts w:ascii="Arial" w:eastAsia="Times New Roman" w:hAnsi="Arial" w:cs="Arial"/>
          <w:b/>
          <w:bCs/>
          <w:sz w:val="20"/>
          <w:szCs w:val="20"/>
          <w:lang w:eastAsia="pt-BR"/>
        </w:rPr>
        <w:t>²</w:t>
      </w:r>
      <w:proofErr w:type="gramEnd"/>
      <w:r w:rsidRPr="009E6ED0">
        <w:rPr>
          <w:rFonts w:ascii="Arial" w:eastAsia="Times New Roman" w:hAnsi="Arial" w:cs="Arial"/>
          <w:b/>
          <w:bCs/>
          <w:sz w:val="20"/>
          <w:szCs w:val="20"/>
          <w:lang w:eastAsia="pt-BR"/>
        </w:rPr>
        <w:t>; Alice Rosa Fernandes Bis¹; Homero Gava Valani¹; Eduarda de Souza Belisário¹</w:t>
      </w:r>
      <w:r w:rsidR="000C2BE9">
        <w:rPr>
          <w:rFonts w:ascii="Arial" w:eastAsia="Times New Roman" w:hAnsi="Arial" w:cs="Arial"/>
          <w:b/>
          <w:bCs/>
          <w:sz w:val="20"/>
          <w:szCs w:val="20"/>
          <w:lang w:eastAsia="pt-BR"/>
        </w:rPr>
        <w:t>*</w:t>
      </w:r>
      <w:r w:rsidRPr="009E6ED0">
        <w:rPr>
          <w:rFonts w:ascii="Arial" w:eastAsia="Times New Roman" w:hAnsi="Arial" w:cs="Arial"/>
          <w:b/>
          <w:bCs/>
          <w:sz w:val="20"/>
          <w:szCs w:val="20"/>
          <w:lang w:eastAsia="pt-BR"/>
        </w:rPr>
        <w:t>; Rafaela Aires¹; Bianca Prandi Campagnaro¹*</w:t>
      </w:r>
    </w:p>
    <w:p w14:paraId="7447E94C" w14:textId="082AA55C" w:rsidR="009E6ED0" w:rsidRPr="009E6ED0" w:rsidRDefault="009E6ED0" w:rsidP="009E6ED0">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Pr="009E6ED0">
        <w:rPr>
          <w:rFonts w:ascii="Arial" w:eastAsia="Times New Roman" w:hAnsi="Arial" w:cs="Arial"/>
          <w:i/>
          <w:iCs/>
          <w:sz w:val="20"/>
          <w:szCs w:val="20"/>
          <w:lang w:eastAsia="pt-BR"/>
        </w:rPr>
        <w:t>eduardabelisario@gmail.com</w:t>
      </w:r>
    </w:p>
    <w:p w14:paraId="26C190AB" w14:textId="77777777" w:rsidR="009E6ED0" w:rsidRDefault="009E6ED0" w:rsidP="009E6ED0">
      <w:pPr>
        <w:spacing w:after="0" w:line="240" w:lineRule="auto"/>
        <w:jc w:val="both"/>
        <w:rPr>
          <w:rFonts w:ascii="Arial" w:eastAsia="Times New Roman" w:hAnsi="Arial" w:cs="Arial"/>
          <w:sz w:val="18"/>
          <w:szCs w:val="18"/>
          <w:lang w:eastAsia="pt-BR"/>
        </w:rPr>
      </w:pPr>
      <w:r w:rsidRPr="009E6ED0">
        <w:rPr>
          <w:rFonts w:ascii="Arial" w:eastAsia="Times New Roman" w:hAnsi="Arial" w:cs="Arial"/>
          <w:sz w:val="18"/>
          <w:szCs w:val="18"/>
          <w:lang w:eastAsia="pt-BR"/>
        </w:rPr>
        <w:t>¹Universidade Vila Velha (UVV), Programa de Pós-Graduação em Ciências Farmacêuticas, Laboratório de Fisiologia Translacional e Farmacologia, Vila Velha, ES, Brasil;</w:t>
      </w:r>
    </w:p>
    <w:p w14:paraId="24CA5C7D" w14:textId="631B3B5F" w:rsidR="009E6ED0" w:rsidRPr="009E6ED0" w:rsidRDefault="009E6ED0" w:rsidP="009E6ED0">
      <w:pPr>
        <w:spacing w:after="0" w:line="240" w:lineRule="auto"/>
        <w:jc w:val="both"/>
        <w:rPr>
          <w:rFonts w:ascii="Arial" w:eastAsia="Times New Roman" w:hAnsi="Arial" w:cs="Arial"/>
          <w:sz w:val="18"/>
          <w:szCs w:val="18"/>
          <w:lang w:eastAsia="pt-BR"/>
        </w:rPr>
      </w:pPr>
      <w:r w:rsidRPr="009E6ED0">
        <w:rPr>
          <w:rFonts w:ascii="Arial" w:eastAsia="Times New Roman" w:hAnsi="Arial" w:cs="Arial"/>
          <w:sz w:val="18"/>
          <w:szCs w:val="18"/>
          <w:lang w:eastAsia="pt-BR"/>
        </w:rPr>
        <w:t>²Instituto Federal de Educação, Ciência e Tecnologia (IFES), Vila Velha, ES, Brasil</w:t>
      </w:r>
    </w:p>
    <w:p w14:paraId="0D06C4C7" w14:textId="6AD7ABD6" w:rsidR="009E6ED0" w:rsidRPr="009E6ED0" w:rsidRDefault="009E6ED0" w:rsidP="009E6ED0">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b/>
          <w:bCs/>
          <w:sz w:val="18"/>
          <w:szCs w:val="18"/>
          <w:lang w:val="en-US" w:eastAsia="pt-BR"/>
        </w:rPr>
        <w:t>Thematic Session:</w:t>
      </w:r>
      <w:r w:rsidRPr="009E6ED0">
        <w:rPr>
          <w:rFonts w:ascii="Arial" w:eastAsia="Times New Roman" w:hAnsi="Arial" w:cs="Arial"/>
          <w:sz w:val="18"/>
          <w:szCs w:val="18"/>
          <w:lang w:val="en-US" w:eastAsia="pt-BR"/>
        </w:rPr>
        <w:t xml:space="preserve"> Pathophysiology and triggering factors of human and animal diseases.</w:t>
      </w:r>
    </w:p>
    <w:p w14:paraId="3F7E164D" w14:textId="6EE82807" w:rsidR="009E6ED0" w:rsidRPr="009E6ED0" w:rsidRDefault="009E6ED0" w:rsidP="009E6ED0">
      <w:pPr>
        <w:spacing w:before="100" w:beforeAutospacing="1" w:after="100" w:afterAutospacing="1" w:line="240" w:lineRule="auto"/>
        <w:jc w:val="both"/>
        <w:rPr>
          <w:rFonts w:ascii="Arial" w:eastAsia="Times New Roman" w:hAnsi="Arial" w:cs="Arial"/>
          <w:sz w:val="20"/>
          <w:szCs w:val="20"/>
          <w:lang w:val="en-US" w:eastAsia="pt-BR"/>
        </w:rPr>
      </w:pPr>
      <w:r w:rsidRPr="009E6ED0">
        <w:rPr>
          <w:rFonts w:ascii="Arial" w:eastAsia="Times New Roman" w:hAnsi="Arial" w:cs="Arial"/>
          <w:b/>
          <w:bCs/>
          <w:sz w:val="20"/>
          <w:szCs w:val="20"/>
          <w:lang w:val="en-US" w:eastAsia="pt-BR"/>
        </w:rPr>
        <w:t>INTRODUCTION:</w:t>
      </w:r>
      <w:r w:rsidRPr="009E6ED0">
        <w:rPr>
          <w:rFonts w:ascii="Arial" w:eastAsia="Times New Roman" w:hAnsi="Arial" w:cs="Arial"/>
          <w:sz w:val="20"/>
          <w:szCs w:val="20"/>
          <w:lang w:val="en-US" w:eastAsia="pt-BR"/>
        </w:rPr>
        <w:t xml:space="preserve"> Ulcerative colitis is a chronic inflammatory bowel disease of idiopathic etiology that affects the mucosa of the colon and rectum, leading to symptoms such as abdominal pain, diarrhea, weight loss, and loss of appetite. Current pharmacological treatment does not ensure a high remission rate and is associated with adverse effects, which encourages the search for alternative therapies. Probiotics, such as milk kefir, have shown beneficial effects in the gastrointestinal tract, including potential applications in ulcerative colitis. However, the </w:t>
      </w:r>
      <w:proofErr w:type="spellStart"/>
      <w:r w:rsidRPr="009E6ED0">
        <w:rPr>
          <w:rFonts w:ascii="Arial" w:eastAsia="Times New Roman" w:hAnsi="Arial" w:cs="Arial"/>
          <w:sz w:val="20"/>
          <w:szCs w:val="20"/>
          <w:lang w:val="en-US" w:eastAsia="pt-BR"/>
        </w:rPr>
        <w:t>enteroprotective</w:t>
      </w:r>
      <w:proofErr w:type="spellEnd"/>
      <w:r w:rsidRPr="009E6ED0">
        <w:rPr>
          <w:rFonts w:ascii="Arial" w:eastAsia="Times New Roman" w:hAnsi="Arial" w:cs="Arial"/>
          <w:sz w:val="20"/>
          <w:szCs w:val="20"/>
          <w:lang w:val="en-US" w:eastAsia="pt-BR"/>
        </w:rPr>
        <w:t xml:space="preserve"> mechanisms of kefir remain incompletely elucidated. </w:t>
      </w:r>
      <w:r w:rsidRPr="009E6ED0">
        <w:rPr>
          <w:rFonts w:ascii="Arial" w:eastAsia="Times New Roman" w:hAnsi="Arial" w:cs="Arial"/>
          <w:b/>
          <w:bCs/>
          <w:sz w:val="20"/>
          <w:szCs w:val="20"/>
          <w:lang w:val="en-US" w:eastAsia="pt-BR"/>
        </w:rPr>
        <w:t>OBJECTIVE:</w:t>
      </w:r>
      <w:r w:rsidRPr="009E6ED0">
        <w:rPr>
          <w:rFonts w:ascii="Arial" w:eastAsia="Times New Roman" w:hAnsi="Arial" w:cs="Arial"/>
          <w:sz w:val="20"/>
          <w:szCs w:val="20"/>
          <w:lang w:val="en-US" w:eastAsia="pt-BR"/>
        </w:rPr>
        <w:t xml:space="preserve"> To evaluate the </w:t>
      </w:r>
      <w:proofErr w:type="spellStart"/>
      <w:r w:rsidRPr="009E6ED0">
        <w:rPr>
          <w:rFonts w:ascii="Arial" w:eastAsia="Times New Roman" w:hAnsi="Arial" w:cs="Arial"/>
          <w:sz w:val="20"/>
          <w:szCs w:val="20"/>
          <w:lang w:val="en-US" w:eastAsia="pt-BR"/>
        </w:rPr>
        <w:t>enteroprotective</w:t>
      </w:r>
      <w:proofErr w:type="spellEnd"/>
      <w:r w:rsidRPr="009E6ED0">
        <w:rPr>
          <w:rFonts w:ascii="Arial" w:eastAsia="Times New Roman" w:hAnsi="Arial" w:cs="Arial"/>
          <w:sz w:val="20"/>
          <w:szCs w:val="20"/>
          <w:lang w:val="en-US" w:eastAsia="pt-BR"/>
        </w:rPr>
        <w:t xml:space="preserve"> effect of milk kefir in an experimental model of DSS-induced ulcerative colitis. </w:t>
      </w:r>
      <w:r w:rsidRPr="009E6ED0">
        <w:rPr>
          <w:rFonts w:ascii="Arial" w:eastAsia="Times New Roman" w:hAnsi="Arial" w:cs="Arial"/>
          <w:b/>
          <w:bCs/>
          <w:sz w:val="20"/>
          <w:szCs w:val="20"/>
          <w:lang w:val="en-US" w:eastAsia="pt-BR"/>
        </w:rPr>
        <w:t>METHODOLOGY:</w:t>
      </w:r>
      <w:r w:rsidRPr="009E6ED0">
        <w:rPr>
          <w:rFonts w:ascii="Arial" w:eastAsia="Times New Roman" w:hAnsi="Arial" w:cs="Arial"/>
          <w:sz w:val="20"/>
          <w:szCs w:val="20"/>
          <w:lang w:val="en-US" w:eastAsia="pt-BR"/>
        </w:rPr>
        <w:t xml:space="preserve"> Female C57BL/6 mice (20 g) were divided into three groups: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(water + distilled water </w:t>
      </w:r>
      <w:proofErr w:type="spellStart"/>
      <w:r w:rsidRPr="009E6ED0">
        <w:rPr>
          <w:rFonts w:ascii="Arial" w:eastAsia="Times New Roman" w:hAnsi="Arial" w:cs="Arial"/>
          <w:sz w:val="20"/>
          <w:szCs w:val="20"/>
          <w:lang w:val="en-US" w:eastAsia="pt-BR"/>
        </w:rPr>
        <w:t>p.o.</w:t>
      </w:r>
      <w:proofErr w:type="spellEnd"/>
      <w:r w:rsidRPr="009E6ED0">
        <w:rPr>
          <w:rFonts w:ascii="Arial" w:eastAsia="Times New Roman" w:hAnsi="Arial" w:cs="Arial"/>
          <w:sz w:val="20"/>
          <w:szCs w:val="20"/>
          <w:lang w:val="en-US" w:eastAsia="pt-BR"/>
        </w:rPr>
        <w:t xml:space="preserve">), DSS (1.9% DSS + distilled water </w:t>
      </w:r>
      <w:proofErr w:type="spellStart"/>
      <w:r w:rsidRPr="009E6ED0">
        <w:rPr>
          <w:rFonts w:ascii="Arial" w:eastAsia="Times New Roman" w:hAnsi="Arial" w:cs="Arial"/>
          <w:sz w:val="20"/>
          <w:szCs w:val="20"/>
          <w:lang w:val="en-US" w:eastAsia="pt-BR"/>
        </w:rPr>
        <w:t>p.o.</w:t>
      </w:r>
      <w:proofErr w:type="spellEnd"/>
      <w:r w:rsidRPr="009E6ED0">
        <w:rPr>
          <w:rFonts w:ascii="Arial" w:eastAsia="Times New Roman" w:hAnsi="Arial" w:cs="Arial"/>
          <w:sz w:val="20"/>
          <w:szCs w:val="20"/>
          <w:lang w:val="en-US" w:eastAsia="pt-BR"/>
        </w:rPr>
        <w:t xml:space="preserve">), and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(1.9% DSS + 10⁷ CFU of milk kefir </w:t>
      </w:r>
      <w:proofErr w:type="spellStart"/>
      <w:r w:rsidRPr="009E6ED0">
        <w:rPr>
          <w:rFonts w:ascii="Arial" w:eastAsia="Times New Roman" w:hAnsi="Arial" w:cs="Arial"/>
          <w:sz w:val="20"/>
          <w:szCs w:val="20"/>
          <w:lang w:val="en-US" w:eastAsia="pt-BR"/>
        </w:rPr>
        <w:t>p.o.</w:t>
      </w:r>
      <w:proofErr w:type="spellEnd"/>
      <w:r w:rsidRPr="009E6ED0">
        <w:rPr>
          <w:rFonts w:ascii="Arial" w:eastAsia="Times New Roman" w:hAnsi="Arial" w:cs="Arial"/>
          <w:sz w:val="20"/>
          <w:szCs w:val="20"/>
          <w:lang w:val="en-US" w:eastAsia="pt-BR"/>
        </w:rPr>
        <w:t xml:space="preserve">). Treatment started on the fifth day after DSS administration. The disease activity index (DAI) was assessed daily, and after euthanasia, colon samples were collected for analysis of length, inflammation, oxidative stress, cell regeneration, and intestinal permeability. The study was approved by the Ethics Committee of Vila Velha University (673-2023). </w:t>
      </w:r>
      <w:r w:rsidRPr="009E6ED0">
        <w:rPr>
          <w:rFonts w:ascii="Arial" w:eastAsia="Times New Roman" w:hAnsi="Arial" w:cs="Arial"/>
          <w:b/>
          <w:bCs/>
          <w:sz w:val="20"/>
          <w:szCs w:val="20"/>
          <w:lang w:val="en-US" w:eastAsia="pt-BR"/>
        </w:rPr>
        <w:t>RESULTS AND DISCUSSION:</w:t>
      </w:r>
      <w:r w:rsidRPr="009E6ED0">
        <w:rPr>
          <w:rFonts w:ascii="Arial" w:eastAsia="Times New Roman" w:hAnsi="Arial" w:cs="Arial"/>
          <w:sz w:val="20"/>
          <w:szCs w:val="20"/>
          <w:lang w:val="en-US" w:eastAsia="pt-BR"/>
        </w:rPr>
        <w:t xml:space="preserve"> Oral administration of milk kefir (10⁷ CFU) for seven days prevented weight loss and attenuated clinical signs of colitis (DAI). Kefir preserved colon length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7.24 ± 0.27 cm; DSS: 6.27 ± 0.35 cm;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7.00 ± 0.35 cm) and reduced tissue inflammation (TNF-</w:t>
      </w:r>
      <w:r w:rsidRPr="009E6ED0">
        <w:rPr>
          <w:rFonts w:ascii="Arial" w:eastAsia="Times New Roman" w:hAnsi="Arial" w:cs="Arial"/>
          <w:sz w:val="20"/>
          <w:szCs w:val="20"/>
          <w:lang w:eastAsia="pt-BR"/>
        </w:rPr>
        <w:t>α</w:t>
      </w:r>
      <w:r w:rsidRPr="009E6ED0">
        <w:rPr>
          <w:rFonts w:ascii="Arial" w:eastAsia="Times New Roman" w:hAnsi="Arial" w:cs="Arial"/>
          <w:sz w:val="20"/>
          <w:szCs w:val="20"/>
          <w:lang w:val="en-US" w:eastAsia="pt-BR"/>
        </w:rPr>
        <w:t>: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1.11 ± 0.12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3.53 ± 0.84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2.69 ± 0.35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CCL2: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0.86 ± 0.32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2.61 ± 1.08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1.08 ± 0.62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oxidative stress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O</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1042 ± 186.0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3306 ± 374.9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1538 ± 76.92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and apoptosis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1.28 ± 0.92%; DSS: 3.429 ± 0.68%;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1.05 ± 0.36%). There was an increase in the expression of cell regeneration genes (LGR5: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0.96 ± 0.13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0.15 ± 0.01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0.34 ± 0.13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BMI1: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1.33 ± 0.27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1.76 ± 0.21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3.37 ± 0.64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Kefir also increased </w:t>
      </w:r>
      <w:proofErr w:type="spellStart"/>
      <w:r w:rsidRPr="009E6ED0">
        <w:rPr>
          <w:rFonts w:ascii="Arial" w:eastAsia="Times New Roman" w:hAnsi="Arial" w:cs="Arial"/>
          <w:sz w:val="20"/>
          <w:szCs w:val="20"/>
          <w:lang w:val="en-US" w:eastAsia="pt-BR"/>
        </w:rPr>
        <w:t>occludin</w:t>
      </w:r>
      <w:proofErr w:type="spellEnd"/>
      <w:r w:rsidRPr="009E6ED0">
        <w:rPr>
          <w:rFonts w:ascii="Arial" w:eastAsia="Times New Roman" w:hAnsi="Arial" w:cs="Arial"/>
          <w:sz w:val="20"/>
          <w:szCs w:val="20"/>
          <w:lang w:val="en-US" w:eastAsia="pt-BR"/>
        </w:rPr>
        <w:t xml:space="preserve"> expression, reducing intestinal permeability (</w:t>
      </w:r>
      <w:proofErr w:type="spellStart"/>
      <w:r w:rsidRPr="009E6ED0">
        <w:rPr>
          <w:rFonts w:ascii="Arial" w:eastAsia="Times New Roman" w:hAnsi="Arial" w:cs="Arial"/>
          <w:sz w:val="20"/>
          <w:szCs w:val="20"/>
          <w:lang w:val="en-US" w:eastAsia="pt-BR"/>
        </w:rPr>
        <w:t>Occludin</w:t>
      </w:r>
      <w:proofErr w:type="spellEnd"/>
      <w:r w:rsidRPr="009E6ED0">
        <w:rPr>
          <w:rFonts w:ascii="Arial" w:eastAsia="Times New Roman" w:hAnsi="Arial" w:cs="Arial"/>
          <w:sz w:val="20"/>
          <w:szCs w:val="20"/>
          <w:lang w:val="en-US" w:eastAsia="pt-BR"/>
        </w:rPr>
        <w:t>: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1.43 ± 0.46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0.29 ± 0.15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1.03 ± 0.35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FITC-Dextran 4-kDa: H</w:t>
      </w:r>
      <w:r w:rsidRPr="009E6ED0">
        <w:rPr>
          <w:rFonts w:ascii="Cambria Math" w:eastAsia="Times New Roman" w:hAnsi="Cambria Math" w:cs="Cambria Math"/>
          <w:sz w:val="20"/>
          <w:szCs w:val="20"/>
          <w:lang w:val="en-US" w:eastAsia="pt-BR"/>
        </w:rPr>
        <w:t>₂</w:t>
      </w:r>
      <w:r w:rsidRPr="009E6ED0">
        <w:rPr>
          <w:rFonts w:ascii="Arial" w:eastAsia="Times New Roman" w:hAnsi="Arial" w:cs="Arial"/>
          <w:sz w:val="20"/>
          <w:szCs w:val="20"/>
          <w:lang w:val="en-US" w:eastAsia="pt-BR"/>
        </w:rPr>
        <w:t xml:space="preserve">O: 0.81 ± 0.23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DSS: 1.46 ± 0.40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w:t>
      </w:r>
      <w:proofErr w:type="spellStart"/>
      <w:r w:rsidRPr="009E6ED0">
        <w:rPr>
          <w:rFonts w:ascii="Arial" w:eastAsia="Times New Roman" w:hAnsi="Arial" w:cs="Arial"/>
          <w:sz w:val="20"/>
          <w:szCs w:val="20"/>
          <w:lang w:val="en-US" w:eastAsia="pt-BR"/>
        </w:rPr>
        <w:t>DSS+Kefir</w:t>
      </w:r>
      <w:proofErr w:type="spellEnd"/>
      <w:r w:rsidRPr="009E6ED0">
        <w:rPr>
          <w:rFonts w:ascii="Arial" w:eastAsia="Times New Roman" w:hAnsi="Arial" w:cs="Arial"/>
          <w:sz w:val="20"/>
          <w:szCs w:val="20"/>
          <w:lang w:val="en-US" w:eastAsia="pt-BR"/>
        </w:rPr>
        <w:t xml:space="preserve">: 0.97 ± 0.25 </w:t>
      </w:r>
      <w:proofErr w:type="spellStart"/>
      <w:r w:rsidRPr="009E6ED0">
        <w:rPr>
          <w:rFonts w:ascii="Arial" w:eastAsia="Times New Roman" w:hAnsi="Arial" w:cs="Arial"/>
          <w:sz w:val="20"/>
          <w:szCs w:val="20"/>
          <w:lang w:val="en-US" w:eastAsia="pt-BR"/>
        </w:rPr>
        <w:t>a.u</w:t>
      </w:r>
      <w:proofErr w:type="spellEnd"/>
      <w:r w:rsidRPr="009E6ED0">
        <w:rPr>
          <w:rFonts w:ascii="Arial" w:eastAsia="Times New Roman" w:hAnsi="Arial" w:cs="Arial"/>
          <w:sz w:val="20"/>
          <w:szCs w:val="20"/>
          <w:lang w:val="en-US" w:eastAsia="pt-BR"/>
        </w:rPr>
        <w:t xml:space="preserve">.). Ulcerative colitis is a chronic inflammatory disease that damages the intestinal mucosa, significantly impacting patients’ quality of life. Several studies demonstrate the beneficial role of probiotics, such as milk kefir, in improving clinical parameters of the disease, including diarrhea and bleeding. In addition, probiotics can enhance intestinal barrier function, reduce inflammation and reactive oxygen species (ROS), and promote cellular protection and regeneration. </w:t>
      </w:r>
      <w:r w:rsidRPr="009E6ED0">
        <w:rPr>
          <w:rFonts w:ascii="Arial" w:eastAsia="Times New Roman" w:hAnsi="Arial" w:cs="Arial"/>
          <w:b/>
          <w:bCs/>
          <w:sz w:val="20"/>
          <w:szCs w:val="20"/>
          <w:lang w:val="en-US" w:eastAsia="pt-BR"/>
        </w:rPr>
        <w:t>CONCLUSIONS:</w:t>
      </w:r>
      <w:r w:rsidRPr="009E6ED0">
        <w:rPr>
          <w:rFonts w:ascii="Arial" w:eastAsia="Times New Roman" w:hAnsi="Arial" w:cs="Arial"/>
          <w:sz w:val="20"/>
          <w:szCs w:val="20"/>
          <w:lang w:val="en-US" w:eastAsia="pt-BR"/>
        </w:rPr>
        <w:t xml:space="preserve"> Milk kefir demonstrated significant </w:t>
      </w:r>
      <w:proofErr w:type="spellStart"/>
      <w:r w:rsidRPr="009E6ED0">
        <w:rPr>
          <w:rFonts w:ascii="Arial" w:eastAsia="Times New Roman" w:hAnsi="Arial" w:cs="Arial"/>
          <w:sz w:val="20"/>
          <w:szCs w:val="20"/>
          <w:lang w:val="en-US" w:eastAsia="pt-BR"/>
        </w:rPr>
        <w:t>enteroprotective</w:t>
      </w:r>
      <w:proofErr w:type="spellEnd"/>
      <w:r w:rsidRPr="009E6ED0">
        <w:rPr>
          <w:rFonts w:ascii="Arial" w:eastAsia="Times New Roman" w:hAnsi="Arial" w:cs="Arial"/>
          <w:sz w:val="20"/>
          <w:szCs w:val="20"/>
          <w:lang w:val="en-US" w:eastAsia="pt-BR"/>
        </w:rPr>
        <w:t xml:space="preserve"> effects in the DSS-induced ulcerative colitis model, attenuating inflammation, oxidative stress, and promoting intestinal integrity, suggesting promising therapeutic potential.</w:t>
      </w:r>
    </w:p>
    <w:p w14:paraId="69BB33F8" w14:textId="108A1AFA" w:rsidR="009E6ED0" w:rsidRPr="009E6ED0" w:rsidRDefault="009E6ED0" w:rsidP="009E6ED0">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sz w:val="18"/>
          <w:szCs w:val="18"/>
          <w:lang w:val="en-US" w:eastAsia="pt-BR"/>
        </w:rPr>
        <w:t xml:space="preserve">Keywords: </w:t>
      </w:r>
      <w:r w:rsidR="006028C1">
        <w:rPr>
          <w:rFonts w:ascii="Arial" w:eastAsia="Times New Roman" w:hAnsi="Arial" w:cs="Arial"/>
          <w:i/>
          <w:iCs/>
          <w:sz w:val="18"/>
          <w:szCs w:val="18"/>
          <w:lang w:val="en-US" w:eastAsia="pt-BR"/>
        </w:rPr>
        <w:t>P</w:t>
      </w:r>
      <w:r w:rsidRPr="009E6ED0">
        <w:rPr>
          <w:rFonts w:ascii="Arial" w:eastAsia="Times New Roman" w:hAnsi="Arial" w:cs="Arial"/>
          <w:i/>
          <w:iCs/>
          <w:sz w:val="18"/>
          <w:szCs w:val="18"/>
          <w:lang w:val="en-US" w:eastAsia="pt-BR"/>
        </w:rPr>
        <w:t xml:space="preserve">robiotic; </w:t>
      </w:r>
      <w:r w:rsidR="006028C1">
        <w:rPr>
          <w:rFonts w:ascii="Arial" w:eastAsia="Times New Roman" w:hAnsi="Arial" w:cs="Arial"/>
          <w:i/>
          <w:iCs/>
          <w:sz w:val="18"/>
          <w:szCs w:val="18"/>
          <w:lang w:val="en-US" w:eastAsia="pt-BR"/>
        </w:rPr>
        <w:t>I</w:t>
      </w:r>
      <w:r w:rsidRPr="009E6ED0">
        <w:rPr>
          <w:rFonts w:ascii="Arial" w:eastAsia="Times New Roman" w:hAnsi="Arial" w:cs="Arial"/>
          <w:i/>
          <w:iCs/>
          <w:sz w:val="18"/>
          <w:szCs w:val="18"/>
          <w:lang w:val="en-US" w:eastAsia="pt-BR"/>
        </w:rPr>
        <w:t xml:space="preserve">nflammatory bowel disease; </w:t>
      </w:r>
      <w:r w:rsidR="006028C1">
        <w:rPr>
          <w:rFonts w:ascii="Arial" w:eastAsia="Times New Roman" w:hAnsi="Arial" w:cs="Arial"/>
          <w:i/>
          <w:iCs/>
          <w:sz w:val="18"/>
          <w:szCs w:val="18"/>
          <w:lang w:val="en-US" w:eastAsia="pt-BR"/>
        </w:rPr>
        <w:t>I</w:t>
      </w:r>
      <w:r w:rsidRPr="009E6ED0">
        <w:rPr>
          <w:rFonts w:ascii="Arial" w:eastAsia="Times New Roman" w:hAnsi="Arial" w:cs="Arial"/>
          <w:i/>
          <w:iCs/>
          <w:sz w:val="18"/>
          <w:szCs w:val="18"/>
          <w:lang w:val="en-US" w:eastAsia="pt-BR"/>
        </w:rPr>
        <w:t xml:space="preserve">nflammation; </w:t>
      </w:r>
      <w:r w:rsidR="006028C1">
        <w:rPr>
          <w:rFonts w:ascii="Arial" w:eastAsia="Times New Roman" w:hAnsi="Arial" w:cs="Arial"/>
          <w:i/>
          <w:iCs/>
          <w:sz w:val="18"/>
          <w:szCs w:val="18"/>
          <w:lang w:val="en-US" w:eastAsia="pt-BR"/>
        </w:rPr>
        <w:t>O</w:t>
      </w:r>
      <w:r w:rsidRPr="009E6ED0">
        <w:rPr>
          <w:rFonts w:ascii="Arial" w:eastAsia="Times New Roman" w:hAnsi="Arial" w:cs="Arial"/>
          <w:i/>
          <w:iCs/>
          <w:sz w:val="18"/>
          <w:szCs w:val="18"/>
          <w:lang w:val="en-US" w:eastAsia="pt-BR"/>
        </w:rPr>
        <w:t>xidative stress.</w:t>
      </w:r>
    </w:p>
    <w:p w14:paraId="4DC598F2" w14:textId="47D902B8" w:rsidR="009E6ED0" w:rsidRPr="00F72E00" w:rsidRDefault="006835D3" w:rsidP="009E6ED0">
      <w:pPr>
        <w:spacing w:before="100" w:beforeAutospacing="1" w:after="100" w:afterAutospacing="1" w:line="240" w:lineRule="auto"/>
        <w:jc w:val="both"/>
        <w:rPr>
          <w:rFonts w:ascii="Arial" w:eastAsia="Times New Roman" w:hAnsi="Arial" w:cs="Arial"/>
          <w:sz w:val="20"/>
          <w:szCs w:val="20"/>
          <w:lang w:val="en-US" w:eastAsia="pt-BR"/>
        </w:rPr>
      </w:pPr>
      <w:r w:rsidRPr="008D64CA">
        <w:rPr>
          <w:rFonts w:ascii="Arial" w:eastAsia="Times New Roman" w:hAnsi="Arial" w:cs="Arial"/>
          <w:sz w:val="20"/>
          <w:szCs w:val="20"/>
          <w:lang w:val="en-US" w:eastAsia="pt-BR"/>
        </w:rPr>
        <w:t xml:space="preserve">Acknowledgment: </w:t>
      </w:r>
      <w:r w:rsidR="009E6ED0" w:rsidRPr="009E6ED0">
        <w:rPr>
          <w:rFonts w:ascii="Arial" w:eastAsia="Times New Roman" w:hAnsi="Arial" w:cs="Arial"/>
          <w:sz w:val="20"/>
          <w:szCs w:val="20"/>
          <w:lang w:val="en-US" w:eastAsia="pt-BR"/>
        </w:rPr>
        <w:t xml:space="preserve">FAPES e </w:t>
      </w:r>
      <w:proofErr w:type="spellStart"/>
      <w:r w:rsidR="009E6ED0" w:rsidRPr="009E6ED0">
        <w:rPr>
          <w:rFonts w:ascii="Arial" w:eastAsia="Times New Roman" w:hAnsi="Arial" w:cs="Arial"/>
          <w:sz w:val="20"/>
          <w:szCs w:val="20"/>
          <w:lang w:val="en-US" w:eastAsia="pt-BR"/>
        </w:rPr>
        <w:t>CNPq</w:t>
      </w:r>
      <w:proofErr w:type="spellEnd"/>
      <w:r w:rsidR="009E6ED0" w:rsidRPr="009E6ED0">
        <w:rPr>
          <w:rFonts w:ascii="Arial" w:eastAsia="Times New Roman" w:hAnsi="Arial" w:cs="Arial"/>
          <w:sz w:val="20"/>
          <w:szCs w:val="20"/>
          <w:lang w:val="en-US" w:eastAsia="pt-BR"/>
        </w:rPr>
        <w:t>.</w:t>
      </w:r>
    </w:p>
    <w:p w14:paraId="6C85F452" w14:textId="77777777" w:rsidR="000C2BE9" w:rsidRDefault="000C2BE9" w:rsidP="009E6ED0">
      <w:pPr>
        <w:spacing w:before="100" w:beforeAutospacing="1" w:after="100" w:afterAutospacing="1" w:line="240" w:lineRule="auto"/>
        <w:jc w:val="both"/>
        <w:rPr>
          <w:rFonts w:ascii="Arial" w:eastAsia="Times New Roman" w:hAnsi="Arial" w:cs="Arial"/>
          <w:sz w:val="20"/>
          <w:szCs w:val="20"/>
          <w:lang w:val="en-US" w:eastAsia="pt-BR"/>
        </w:rPr>
      </w:pPr>
    </w:p>
    <w:p w14:paraId="11175A2B" w14:textId="77777777" w:rsidR="001F0BAB" w:rsidRDefault="001F0BAB" w:rsidP="009E6ED0">
      <w:pPr>
        <w:spacing w:before="100" w:beforeAutospacing="1" w:after="100" w:afterAutospacing="1" w:line="240" w:lineRule="auto"/>
        <w:jc w:val="both"/>
        <w:rPr>
          <w:rFonts w:ascii="Arial" w:eastAsia="Times New Roman" w:hAnsi="Arial" w:cs="Arial"/>
          <w:sz w:val="20"/>
          <w:szCs w:val="20"/>
          <w:lang w:val="en-US" w:eastAsia="pt-BR"/>
        </w:rPr>
      </w:pPr>
    </w:p>
    <w:p w14:paraId="1872BE70" w14:textId="77777777" w:rsidR="001F0BAB" w:rsidRDefault="001F0BAB" w:rsidP="009E6ED0">
      <w:pPr>
        <w:spacing w:before="100" w:beforeAutospacing="1" w:after="100" w:afterAutospacing="1" w:line="240" w:lineRule="auto"/>
        <w:jc w:val="both"/>
        <w:rPr>
          <w:rFonts w:ascii="Arial" w:eastAsia="Times New Roman" w:hAnsi="Arial" w:cs="Arial"/>
          <w:sz w:val="20"/>
          <w:szCs w:val="20"/>
          <w:lang w:val="en-US" w:eastAsia="pt-BR"/>
        </w:rPr>
      </w:pPr>
    </w:p>
    <w:p w14:paraId="4B828735" w14:textId="5CE16FD6" w:rsidR="001F0BAB" w:rsidRPr="006D211D" w:rsidRDefault="001F0BAB" w:rsidP="006D211D">
      <w:pPr>
        <w:pStyle w:val="Ttulo1"/>
        <w:rPr>
          <w:rStyle w:val="agcmg"/>
          <w:rFonts w:ascii="Arial" w:hAnsi="Arial" w:cs="Arial"/>
          <w:color w:val="auto"/>
          <w:sz w:val="28"/>
          <w:szCs w:val="28"/>
          <w:lang w:val="en-US"/>
        </w:rPr>
      </w:pPr>
      <w:bookmarkStart w:id="10" w:name="_Toc211954567"/>
      <w:r w:rsidRPr="006D211D">
        <w:rPr>
          <w:rStyle w:val="agcmg"/>
          <w:rFonts w:ascii="Arial" w:hAnsi="Arial" w:cs="Arial"/>
          <w:b/>
          <w:bCs/>
          <w:color w:val="auto"/>
          <w:sz w:val="28"/>
          <w:szCs w:val="28"/>
          <w:lang w:val="en-US"/>
        </w:rPr>
        <w:lastRenderedPageBreak/>
        <w:t>Effect of Milk Kefir Administration in an Experimental Model of Intestinal Mucositis Induced By 5-Fluorouracil (5-FU)</w:t>
      </w:r>
      <w:bookmarkEnd w:id="10"/>
    </w:p>
    <w:p w14:paraId="3F5D44F3" w14:textId="77777777" w:rsidR="001F0BAB" w:rsidRPr="001F0BAB" w:rsidRDefault="001F0BAB" w:rsidP="001F0BAB">
      <w:pPr>
        <w:spacing w:before="100" w:beforeAutospacing="1" w:after="100" w:afterAutospacing="1" w:line="240" w:lineRule="auto"/>
        <w:jc w:val="both"/>
        <w:rPr>
          <w:rFonts w:ascii="Arial" w:eastAsia="Times New Roman" w:hAnsi="Arial" w:cs="Arial"/>
          <w:b/>
          <w:bCs/>
          <w:sz w:val="20"/>
          <w:szCs w:val="20"/>
          <w:lang w:eastAsia="pt-BR"/>
        </w:rPr>
      </w:pPr>
      <w:r w:rsidRPr="001F0BAB">
        <w:rPr>
          <w:rFonts w:ascii="Arial" w:eastAsia="Times New Roman" w:hAnsi="Arial" w:cs="Arial"/>
          <w:b/>
          <w:bCs/>
          <w:i/>
          <w:iCs/>
          <w:sz w:val="20"/>
          <w:szCs w:val="20"/>
          <w:lang w:eastAsia="pt-BR"/>
        </w:rPr>
        <w:t xml:space="preserve">Larissa </w:t>
      </w:r>
      <w:proofErr w:type="spellStart"/>
      <w:r w:rsidRPr="001F0BAB">
        <w:rPr>
          <w:rFonts w:ascii="Arial" w:eastAsia="Times New Roman" w:hAnsi="Arial" w:cs="Arial"/>
          <w:b/>
          <w:bCs/>
          <w:i/>
          <w:iCs/>
          <w:sz w:val="20"/>
          <w:szCs w:val="20"/>
          <w:lang w:eastAsia="pt-BR"/>
        </w:rPr>
        <w:t>Zambom</w:t>
      </w:r>
      <w:proofErr w:type="spellEnd"/>
      <w:r w:rsidRPr="001F0BAB">
        <w:rPr>
          <w:rFonts w:ascii="Arial" w:eastAsia="Times New Roman" w:hAnsi="Arial" w:cs="Arial"/>
          <w:b/>
          <w:bCs/>
          <w:i/>
          <w:iCs/>
          <w:sz w:val="20"/>
          <w:szCs w:val="20"/>
          <w:lang w:eastAsia="pt-BR"/>
        </w:rPr>
        <w:t xml:space="preserve"> Côco¹; Alice Rosa Fernandes Bis¹; Homero Gava Valani¹; Alfredo Antônio Cardoso¹; Thiago de Mello Costa Pereira</w:t>
      </w:r>
      <w:proofErr w:type="gramStart"/>
      <w:r w:rsidRPr="001F0BAB">
        <w:rPr>
          <w:rFonts w:ascii="Arial" w:eastAsia="Times New Roman" w:hAnsi="Arial" w:cs="Arial"/>
          <w:b/>
          <w:bCs/>
          <w:i/>
          <w:iCs/>
          <w:sz w:val="20"/>
          <w:szCs w:val="20"/>
          <w:lang w:eastAsia="pt-BR"/>
        </w:rPr>
        <w:t>¹,²</w:t>
      </w:r>
      <w:proofErr w:type="gramEnd"/>
      <w:r w:rsidRPr="001F0BAB">
        <w:rPr>
          <w:rFonts w:ascii="Arial" w:eastAsia="Times New Roman" w:hAnsi="Arial" w:cs="Arial"/>
          <w:b/>
          <w:bCs/>
          <w:i/>
          <w:iCs/>
          <w:sz w:val="20"/>
          <w:szCs w:val="20"/>
          <w:lang w:eastAsia="pt-BR"/>
        </w:rPr>
        <w:t>; Bianca Prandi Campagnaro¹</w:t>
      </w:r>
      <w:r w:rsidRPr="001F0BAB">
        <w:rPr>
          <w:rFonts w:ascii="Arial" w:eastAsia="Times New Roman" w:hAnsi="Arial" w:cs="Arial"/>
          <w:b/>
          <w:bCs/>
          <w:sz w:val="20"/>
          <w:szCs w:val="20"/>
          <w:lang w:eastAsia="pt-BR"/>
        </w:rPr>
        <w:t>*</w:t>
      </w:r>
    </w:p>
    <w:p w14:paraId="224CB648" w14:textId="6B5D3A83" w:rsidR="001F0BAB" w:rsidRPr="001F0BAB" w:rsidRDefault="001F0BAB" w:rsidP="001F0BAB">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Pr="001F0BAB">
        <w:rPr>
          <w:rFonts w:ascii="Arial" w:eastAsia="Times New Roman" w:hAnsi="Arial" w:cs="Arial"/>
          <w:i/>
          <w:iCs/>
          <w:sz w:val="20"/>
          <w:szCs w:val="20"/>
          <w:lang w:eastAsia="pt-BR"/>
        </w:rPr>
        <w:t>alicebis@uvv.br</w:t>
      </w:r>
    </w:p>
    <w:p w14:paraId="15AB6563" w14:textId="77777777" w:rsidR="001F0BAB" w:rsidRDefault="001F0BAB" w:rsidP="001F0BAB">
      <w:pPr>
        <w:spacing w:after="0" w:line="240" w:lineRule="auto"/>
        <w:jc w:val="both"/>
        <w:rPr>
          <w:rFonts w:ascii="Arial" w:eastAsia="Times New Roman" w:hAnsi="Arial" w:cs="Arial"/>
          <w:sz w:val="18"/>
          <w:szCs w:val="18"/>
          <w:lang w:eastAsia="pt-BR"/>
        </w:rPr>
      </w:pPr>
      <w:r w:rsidRPr="001F0BAB">
        <w:rPr>
          <w:rFonts w:ascii="Arial" w:eastAsia="Times New Roman" w:hAnsi="Arial" w:cs="Arial"/>
          <w:sz w:val="18"/>
          <w:szCs w:val="18"/>
          <w:lang w:eastAsia="pt-BR"/>
        </w:rPr>
        <w:t>¹Universidade Vila Velha (UVV), Programa de Pós-Graduação em Ciências Farmacêuticas, Laboratório de Fisiologia Translacional e Farmacologia, Vila Velha, ES, Brasil;</w:t>
      </w:r>
    </w:p>
    <w:p w14:paraId="2963C414" w14:textId="0A6311B8" w:rsidR="001F0BAB" w:rsidRPr="001F0BAB" w:rsidRDefault="001F0BAB" w:rsidP="001F0BAB">
      <w:pPr>
        <w:spacing w:after="0" w:line="240" w:lineRule="auto"/>
        <w:jc w:val="both"/>
        <w:rPr>
          <w:rFonts w:ascii="Arial" w:eastAsia="Times New Roman" w:hAnsi="Arial" w:cs="Arial"/>
          <w:sz w:val="18"/>
          <w:szCs w:val="18"/>
          <w:lang w:eastAsia="pt-BR"/>
        </w:rPr>
      </w:pPr>
      <w:r w:rsidRPr="001F0BAB">
        <w:rPr>
          <w:rFonts w:ascii="Arial" w:eastAsia="Times New Roman" w:hAnsi="Arial" w:cs="Arial"/>
          <w:sz w:val="18"/>
          <w:szCs w:val="18"/>
          <w:lang w:eastAsia="pt-BR"/>
        </w:rPr>
        <w:t>²Instituto Federal de Educação, Ciência e Tecnologia (IFES), Vila Velha, ES, Brasil.</w:t>
      </w:r>
    </w:p>
    <w:p w14:paraId="3F19D7F5" w14:textId="77777777" w:rsidR="001F0BAB" w:rsidRDefault="001F0BAB" w:rsidP="001F0BAB">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b/>
          <w:bCs/>
          <w:sz w:val="18"/>
          <w:szCs w:val="18"/>
          <w:lang w:val="en-US" w:eastAsia="pt-BR"/>
        </w:rPr>
        <w:t>Thematic Session:</w:t>
      </w:r>
      <w:r w:rsidRPr="009E6ED0">
        <w:rPr>
          <w:rFonts w:ascii="Arial" w:eastAsia="Times New Roman" w:hAnsi="Arial" w:cs="Arial"/>
          <w:sz w:val="18"/>
          <w:szCs w:val="18"/>
          <w:lang w:val="en-US" w:eastAsia="pt-BR"/>
        </w:rPr>
        <w:t xml:space="preserve"> Pathophysiology and triggering factors of human and animal diseases.</w:t>
      </w:r>
    </w:p>
    <w:p w14:paraId="1063D898" w14:textId="5D5D089E" w:rsidR="001F0BAB" w:rsidRPr="001F0BAB" w:rsidRDefault="001F0BAB" w:rsidP="001F0BAB">
      <w:pPr>
        <w:spacing w:before="100" w:beforeAutospacing="1" w:after="100" w:afterAutospacing="1" w:line="240" w:lineRule="auto"/>
        <w:jc w:val="both"/>
        <w:rPr>
          <w:rFonts w:ascii="Arial" w:eastAsia="Times New Roman" w:hAnsi="Arial" w:cs="Arial"/>
          <w:sz w:val="18"/>
          <w:szCs w:val="18"/>
          <w:lang w:val="en-US" w:eastAsia="pt-BR"/>
        </w:rPr>
      </w:pPr>
      <w:r w:rsidRPr="001F0BAB">
        <w:rPr>
          <w:rFonts w:ascii="Arial" w:eastAsia="Times New Roman" w:hAnsi="Arial" w:cs="Arial"/>
          <w:b/>
          <w:bCs/>
          <w:sz w:val="20"/>
          <w:szCs w:val="20"/>
          <w:lang w:val="en-US" w:eastAsia="pt-BR"/>
        </w:rPr>
        <w:t>INTRODUCTION:</w:t>
      </w:r>
      <w:r w:rsidRPr="001F0BAB">
        <w:rPr>
          <w:rFonts w:ascii="Arial" w:eastAsia="Times New Roman" w:hAnsi="Arial" w:cs="Arial"/>
          <w:sz w:val="20"/>
          <w:szCs w:val="20"/>
          <w:lang w:val="en-US" w:eastAsia="pt-BR"/>
        </w:rPr>
        <w:t xml:space="preserve"> Cancer is defined as uncontrolled cell growth resulting from genetic alterations and lifestyle factors. Currently, it is a highly prevalent disease and the second leading cause of death worldwide. Chemotherapy is widely used among treatments, but because chemotherapy agents are not selective for tumor cells, they cause numerous adverse reactions, especially in the gastrointestinal tract (GIT), leading to intestinal mucositis (IM), which affects approximately 80% of patients. Therefore, the search for adjuvant therapies that improve patients’ quality of life is essential. In this context, probiotics, microorganisms that when administered in adequate amounts promote health benefits, have gained prominence. Scientific evidence indicates that probiotics can mitigate the toxicity of chemotherapy agents and contribute to the prevention and treatment of IM, in addition to exhibiting antioxidant effects. </w:t>
      </w:r>
      <w:r w:rsidRPr="001F0BAB">
        <w:rPr>
          <w:rFonts w:ascii="Arial" w:eastAsia="Times New Roman" w:hAnsi="Arial" w:cs="Arial"/>
          <w:b/>
          <w:bCs/>
          <w:sz w:val="20"/>
          <w:szCs w:val="20"/>
          <w:lang w:val="en-US" w:eastAsia="pt-BR"/>
        </w:rPr>
        <w:t>OBJECTIVE:</w:t>
      </w:r>
      <w:r w:rsidRPr="001F0BAB">
        <w:rPr>
          <w:rFonts w:ascii="Arial" w:eastAsia="Times New Roman" w:hAnsi="Arial" w:cs="Arial"/>
          <w:sz w:val="20"/>
          <w:szCs w:val="20"/>
          <w:lang w:val="en-US" w:eastAsia="pt-BR"/>
        </w:rPr>
        <w:t xml:space="preserve"> To evaluate the effect of milk kefir, both in yogurt and lyophilized capsule form, in an experimental model of IM induced by 5-fluorouracil (5-FU). </w:t>
      </w:r>
      <w:r w:rsidRPr="001F0BAB">
        <w:rPr>
          <w:rFonts w:ascii="Arial" w:eastAsia="Times New Roman" w:hAnsi="Arial" w:cs="Arial"/>
          <w:b/>
          <w:bCs/>
          <w:sz w:val="20"/>
          <w:szCs w:val="20"/>
          <w:lang w:val="en-US" w:eastAsia="pt-BR"/>
        </w:rPr>
        <w:t>METHODOLOGY:</w:t>
      </w:r>
      <w:r w:rsidRPr="001F0BAB">
        <w:rPr>
          <w:rFonts w:ascii="Arial" w:eastAsia="Times New Roman" w:hAnsi="Arial" w:cs="Arial"/>
          <w:sz w:val="20"/>
          <w:szCs w:val="20"/>
          <w:lang w:val="en-US" w:eastAsia="pt-BR"/>
        </w:rPr>
        <w:t xml:space="preserve"> Male </w:t>
      </w:r>
      <w:proofErr w:type="spellStart"/>
      <w:r w:rsidRPr="001F0BAB">
        <w:rPr>
          <w:rFonts w:ascii="Arial" w:eastAsia="Times New Roman" w:hAnsi="Arial" w:cs="Arial"/>
          <w:sz w:val="20"/>
          <w:szCs w:val="20"/>
          <w:lang w:val="en-US" w:eastAsia="pt-BR"/>
        </w:rPr>
        <w:t>Balb</w:t>
      </w:r>
      <w:proofErr w:type="spellEnd"/>
      <w:r w:rsidRPr="001F0BAB">
        <w:rPr>
          <w:rFonts w:ascii="Arial" w:eastAsia="Times New Roman" w:hAnsi="Arial" w:cs="Arial"/>
          <w:sz w:val="20"/>
          <w:szCs w:val="20"/>
          <w:lang w:val="en-US" w:eastAsia="pt-BR"/>
        </w:rPr>
        <w:t xml:space="preserve">/c mice (~22 g) were divided into three groups (n = 6): 5-FU, 5-FU + kefir, and 5-FU + kefir capsule. IM was induced by intraperitoneal administration of 5-FU (50 mg/kg) for 3 days. Kefir treatment was initiated 5 days before induction and maintained until day 11. On day 12, the animals were euthanized, and the small and large intestines were collected for analysis of intestinal motility, oxidative stress, and apoptosis. Body weight and fecal consistency of the animals were monitored daily. The study was approved by the Ethics Committee of Vila Velha University (No. 644-2023). </w:t>
      </w:r>
      <w:r w:rsidRPr="001F0BAB">
        <w:rPr>
          <w:rFonts w:ascii="Arial" w:eastAsia="Times New Roman" w:hAnsi="Arial" w:cs="Arial"/>
          <w:b/>
          <w:bCs/>
          <w:sz w:val="20"/>
          <w:szCs w:val="20"/>
          <w:lang w:val="en-US" w:eastAsia="pt-BR"/>
        </w:rPr>
        <w:t>RESULTS AND DISCUSSION:</w:t>
      </w:r>
      <w:r w:rsidRPr="001F0BAB">
        <w:rPr>
          <w:rFonts w:ascii="Arial" w:eastAsia="Times New Roman" w:hAnsi="Arial" w:cs="Arial"/>
          <w:sz w:val="20"/>
          <w:szCs w:val="20"/>
          <w:lang w:val="en-US" w:eastAsia="pt-BR"/>
        </w:rPr>
        <w:t xml:space="preserve"> The animals treated with kefir (2.5 ± 1.22) showed less weight loss compared to the 5-FU group (3.5 ± 0.42). A significant improvement in fecal consistency and intestinal motility was also observed: fecal consistency (5-FU: 1.88 ± 0.78; 5-FU + kefir: 1.00 ± 0.81; 5-FU + kefir capsule: 0.77 ± 0.44) and motility (5-FU: 52.43 ± 7.87%; 5-FU + kefir: 44.04 ± 6.31%; 5-FU + kefir capsule: 43.30 ± 5.67%). Furthermore, analysis of reactive oxygen species (ROS) revealed a significant reduction in the kefir-treated groups (5-FU: 2237 ± 390.20 </w:t>
      </w:r>
      <w:proofErr w:type="spellStart"/>
      <w:proofErr w:type="gramStart"/>
      <w:r w:rsidRPr="001F0BAB">
        <w:rPr>
          <w:rFonts w:ascii="Arial" w:eastAsia="Times New Roman" w:hAnsi="Arial" w:cs="Arial"/>
          <w:sz w:val="20"/>
          <w:szCs w:val="20"/>
          <w:lang w:val="en-US" w:eastAsia="pt-BR"/>
        </w:rPr>
        <w:t>a.u</w:t>
      </w:r>
      <w:proofErr w:type="spellEnd"/>
      <w:proofErr w:type="gramEnd"/>
      <w:r w:rsidRPr="001F0BAB">
        <w:rPr>
          <w:rFonts w:ascii="Arial" w:eastAsia="Times New Roman" w:hAnsi="Arial" w:cs="Arial"/>
          <w:sz w:val="20"/>
          <w:szCs w:val="20"/>
          <w:lang w:val="en-US" w:eastAsia="pt-BR"/>
        </w:rPr>
        <w:t xml:space="preserve">; 5-FU + kefir capsule: 1362 ± 271.60 </w:t>
      </w:r>
      <w:proofErr w:type="spellStart"/>
      <w:proofErr w:type="gramStart"/>
      <w:r w:rsidRPr="001F0BAB">
        <w:rPr>
          <w:rFonts w:ascii="Arial" w:eastAsia="Times New Roman" w:hAnsi="Arial" w:cs="Arial"/>
          <w:sz w:val="20"/>
          <w:szCs w:val="20"/>
          <w:lang w:val="en-US" w:eastAsia="pt-BR"/>
        </w:rPr>
        <w:t>a.u</w:t>
      </w:r>
      <w:proofErr w:type="spellEnd"/>
      <w:proofErr w:type="gramEnd"/>
      <w:r w:rsidRPr="001F0BAB">
        <w:rPr>
          <w:rFonts w:ascii="Arial" w:eastAsia="Times New Roman" w:hAnsi="Arial" w:cs="Arial"/>
          <w:sz w:val="20"/>
          <w:szCs w:val="20"/>
          <w:lang w:val="en-US" w:eastAsia="pt-BR"/>
        </w:rPr>
        <w:t xml:space="preserve">; 5-FU + kefir: 1089 ± 151.20 </w:t>
      </w:r>
      <w:proofErr w:type="spellStart"/>
      <w:proofErr w:type="gramStart"/>
      <w:r w:rsidRPr="001F0BAB">
        <w:rPr>
          <w:rFonts w:ascii="Arial" w:eastAsia="Times New Roman" w:hAnsi="Arial" w:cs="Arial"/>
          <w:sz w:val="20"/>
          <w:szCs w:val="20"/>
          <w:lang w:val="en-US" w:eastAsia="pt-BR"/>
        </w:rPr>
        <w:t>a.u</w:t>
      </w:r>
      <w:proofErr w:type="spellEnd"/>
      <w:proofErr w:type="gramEnd"/>
      <w:r w:rsidRPr="001F0BAB">
        <w:rPr>
          <w:rFonts w:ascii="Arial" w:eastAsia="Times New Roman" w:hAnsi="Arial" w:cs="Arial"/>
          <w:sz w:val="20"/>
          <w:szCs w:val="20"/>
          <w:lang w:val="en-US" w:eastAsia="pt-BR"/>
        </w:rPr>
        <w:t xml:space="preserve">). Apoptosis was also lower in the kefir-treated groups (5-FU: 3.21 ± 0.07%; 5-FU + kefir: 1.71 ± 0.07%; 5-FU + kefir capsule: 1.59 ± 0.30%). These results corroborate previous studies that associate the use of probiotics, especially those containing </w:t>
      </w:r>
      <w:r w:rsidRPr="001F0BAB">
        <w:rPr>
          <w:rFonts w:ascii="Arial" w:eastAsia="Times New Roman" w:hAnsi="Arial" w:cs="Arial"/>
          <w:i/>
          <w:iCs/>
          <w:sz w:val="20"/>
          <w:szCs w:val="20"/>
          <w:lang w:val="en-US" w:eastAsia="pt-BR"/>
        </w:rPr>
        <w:t>Lactobacillus</w:t>
      </w:r>
      <w:r w:rsidRPr="001F0BAB">
        <w:rPr>
          <w:rFonts w:ascii="Arial" w:eastAsia="Times New Roman" w:hAnsi="Arial" w:cs="Arial"/>
          <w:sz w:val="20"/>
          <w:szCs w:val="20"/>
          <w:lang w:val="en-US" w:eastAsia="pt-BR"/>
        </w:rPr>
        <w:t xml:space="preserve">, with the prevention of weight loss and the treatment of diarrhea, in addition to confirming the antioxidant potential of these microorganisms, which reduce ROS levels. </w:t>
      </w:r>
      <w:r w:rsidRPr="001F0BAB">
        <w:rPr>
          <w:rFonts w:ascii="Arial" w:eastAsia="Times New Roman" w:hAnsi="Arial" w:cs="Arial"/>
          <w:b/>
          <w:bCs/>
          <w:sz w:val="20"/>
          <w:szCs w:val="20"/>
          <w:lang w:val="en-US" w:eastAsia="pt-BR"/>
        </w:rPr>
        <w:t>CONCLUSIONS:</w:t>
      </w:r>
      <w:r w:rsidRPr="001F0BAB">
        <w:rPr>
          <w:rFonts w:ascii="Arial" w:eastAsia="Times New Roman" w:hAnsi="Arial" w:cs="Arial"/>
          <w:sz w:val="20"/>
          <w:szCs w:val="20"/>
          <w:lang w:val="en-US" w:eastAsia="pt-BR"/>
        </w:rPr>
        <w:t xml:space="preserve"> The administration of kefir in an experimental model of 5-FU-induced IM demonstrated efficacy in reducing the clinical signs of mucositis, significantly decreasing ROS production and intestinal cell apoptosis, highlighting the therapeutic potential of probiotics in the management of gastrointestinal complications associated with chemotherapy.</w:t>
      </w:r>
    </w:p>
    <w:p w14:paraId="7BA0FEB1" w14:textId="12EE4F76" w:rsidR="001F0BAB" w:rsidRPr="001F0BAB" w:rsidRDefault="001F0BAB" w:rsidP="001F0BAB">
      <w:pPr>
        <w:spacing w:before="100" w:beforeAutospacing="1" w:after="100" w:afterAutospacing="1" w:line="240" w:lineRule="auto"/>
        <w:jc w:val="both"/>
        <w:rPr>
          <w:rFonts w:ascii="Arial" w:eastAsia="Times New Roman" w:hAnsi="Arial" w:cs="Arial"/>
          <w:sz w:val="18"/>
          <w:szCs w:val="18"/>
          <w:lang w:val="en-US" w:eastAsia="pt-BR"/>
        </w:rPr>
      </w:pPr>
      <w:r w:rsidRPr="001F0BAB">
        <w:rPr>
          <w:rFonts w:ascii="Arial" w:eastAsia="Times New Roman" w:hAnsi="Arial" w:cs="Arial"/>
          <w:sz w:val="18"/>
          <w:szCs w:val="18"/>
          <w:lang w:val="en-US" w:eastAsia="pt-BR"/>
        </w:rPr>
        <w:t xml:space="preserve">Keywords: </w:t>
      </w:r>
      <w:r w:rsidRPr="001F0BAB">
        <w:rPr>
          <w:rFonts w:ascii="Arial" w:eastAsia="Times New Roman" w:hAnsi="Arial" w:cs="Arial"/>
          <w:i/>
          <w:iCs/>
          <w:sz w:val="18"/>
          <w:szCs w:val="18"/>
          <w:lang w:val="en-US" w:eastAsia="pt-BR"/>
        </w:rPr>
        <w:t xml:space="preserve">Probiotic; Chemotherapeutic; </w:t>
      </w:r>
      <w:proofErr w:type="spellStart"/>
      <w:r w:rsidRPr="001F0BAB">
        <w:rPr>
          <w:rFonts w:ascii="Arial" w:eastAsia="Times New Roman" w:hAnsi="Arial" w:cs="Arial"/>
          <w:i/>
          <w:iCs/>
          <w:sz w:val="18"/>
          <w:szCs w:val="18"/>
          <w:lang w:val="en-US" w:eastAsia="pt-BR"/>
        </w:rPr>
        <w:t>Enteroprotection</w:t>
      </w:r>
      <w:proofErr w:type="spellEnd"/>
      <w:r w:rsidRPr="001F0BAB">
        <w:rPr>
          <w:rFonts w:ascii="Arial" w:eastAsia="Times New Roman" w:hAnsi="Arial" w:cs="Arial"/>
          <w:i/>
          <w:iCs/>
          <w:sz w:val="18"/>
          <w:szCs w:val="18"/>
          <w:lang w:val="en-US" w:eastAsia="pt-BR"/>
        </w:rPr>
        <w:t>; Oxidative Stress.</w:t>
      </w:r>
    </w:p>
    <w:p w14:paraId="6A57B56C" w14:textId="77777777" w:rsidR="001F0BAB" w:rsidRPr="001F0BAB" w:rsidRDefault="001F0BAB" w:rsidP="001F0BAB">
      <w:pPr>
        <w:spacing w:before="100" w:beforeAutospacing="1" w:after="100" w:afterAutospacing="1" w:line="240" w:lineRule="auto"/>
        <w:jc w:val="both"/>
        <w:rPr>
          <w:rFonts w:ascii="Arial" w:eastAsia="Times New Roman" w:hAnsi="Arial" w:cs="Arial"/>
          <w:sz w:val="20"/>
          <w:szCs w:val="20"/>
          <w:lang w:val="en-US" w:eastAsia="pt-BR"/>
        </w:rPr>
      </w:pPr>
      <w:r w:rsidRPr="001F0BAB">
        <w:rPr>
          <w:rFonts w:ascii="Arial" w:eastAsia="Times New Roman" w:hAnsi="Arial" w:cs="Arial"/>
          <w:sz w:val="20"/>
          <w:szCs w:val="20"/>
          <w:lang w:val="en-US" w:eastAsia="pt-BR"/>
        </w:rPr>
        <w:t xml:space="preserve">Acknowledgments: FAPES and </w:t>
      </w:r>
      <w:proofErr w:type="spellStart"/>
      <w:r w:rsidRPr="001F0BAB">
        <w:rPr>
          <w:rFonts w:ascii="Arial" w:eastAsia="Times New Roman" w:hAnsi="Arial" w:cs="Arial"/>
          <w:sz w:val="20"/>
          <w:szCs w:val="20"/>
          <w:lang w:val="en-US" w:eastAsia="pt-BR"/>
        </w:rPr>
        <w:t>CNPq</w:t>
      </w:r>
      <w:proofErr w:type="spellEnd"/>
      <w:r w:rsidRPr="001F0BAB">
        <w:rPr>
          <w:rFonts w:ascii="Arial" w:eastAsia="Times New Roman" w:hAnsi="Arial" w:cs="Arial"/>
          <w:sz w:val="20"/>
          <w:szCs w:val="20"/>
          <w:lang w:val="en-US" w:eastAsia="pt-BR"/>
        </w:rPr>
        <w:t>.</w:t>
      </w:r>
    </w:p>
    <w:p w14:paraId="3A264B45" w14:textId="77777777" w:rsidR="001F0BAB" w:rsidRPr="001F0BAB" w:rsidRDefault="001F0BAB" w:rsidP="009E6ED0">
      <w:pPr>
        <w:spacing w:before="100" w:beforeAutospacing="1" w:after="100" w:afterAutospacing="1" w:line="240" w:lineRule="auto"/>
        <w:jc w:val="both"/>
        <w:rPr>
          <w:rStyle w:val="agcmg"/>
          <w:lang w:val="en-US"/>
        </w:rPr>
      </w:pPr>
    </w:p>
    <w:p w14:paraId="4257B50E" w14:textId="77777777" w:rsidR="001F0BAB" w:rsidRPr="001F0BAB" w:rsidRDefault="001F0BAB" w:rsidP="009E6ED0">
      <w:pPr>
        <w:spacing w:before="100" w:beforeAutospacing="1" w:after="100" w:afterAutospacing="1" w:line="240" w:lineRule="auto"/>
        <w:jc w:val="both"/>
        <w:rPr>
          <w:rStyle w:val="agcmg"/>
          <w:lang w:val="en-US"/>
        </w:rPr>
      </w:pPr>
    </w:p>
    <w:p w14:paraId="07D7D5FE" w14:textId="77777777" w:rsidR="001F0BAB" w:rsidRPr="001F0BAB" w:rsidRDefault="001F0BAB" w:rsidP="009E6ED0">
      <w:pPr>
        <w:spacing w:before="100" w:beforeAutospacing="1" w:after="100" w:afterAutospacing="1" w:line="240" w:lineRule="auto"/>
        <w:jc w:val="both"/>
        <w:rPr>
          <w:rStyle w:val="agcmg"/>
          <w:lang w:val="en-US"/>
        </w:rPr>
      </w:pPr>
    </w:p>
    <w:p w14:paraId="0A0194EB" w14:textId="3B00CAA6" w:rsidR="000C2BE9" w:rsidRPr="006D211D" w:rsidRDefault="000C2BE9" w:rsidP="006D211D">
      <w:pPr>
        <w:pStyle w:val="Ttulo1"/>
        <w:rPr>
          <w:rFonts w:ascii="Arial" w:eastAsia="Times New Roman" w:hAnsi="Arial" w:cs="Arial"/>
          <w:b/>
          <w:bCs/>
          <w:color w:val="auto"/>
          <w:sz w:val="28"/>
          <w:szCs w:val="28"/>
          <w:lang w:val="en-US" w:eastAsia="pt-BR"/>
        </w:rPr>
      </w:pPr>
      <w:bookmarkStart w:id="11" w:name="_Toc211954568"/>
      <w:r w:rsidRPr="006D211D">
        <w:rPr>
          <w:rFonts w:ascii="Arial" w:eastAsia="Times New Roman" w:hAnsi="Arial" w:cs="Arial"/>
          <w:b/>
          <w:bCs/>
          <w:color w:val="auto"/>
          <w:sz w:val="28"/>
          <w:szCs w:val="28"/>
          <w:lang w:val="en-US" w:eastAsia="pt-BR"/>
        </w:rPr>
        <w:lastRenderedPageBreak/>
        <w:t xml:space="preserve">Hepatoprotective </w:t>
      </w:r>
      <w:r w:rsidR="00F72E00" w:rsidRPr="006D211D">
        <w:rPr>
          <w:rFonts w:ascii="Arial" w:eastAsia="Times New Roman" w:hAnsi="Arial" w:cs="Arial"/>
          <w:b/>
          <w:bCs/>
          <w:color w:val="auto"/>
          <w:sz w:val="28"/>
          <w:szCs w:val="28"/>
          <w:lang w:val="en-US" w:eastAsia="pt-BR"/>
        </w:rPr>
        <w:t xml:space="preserve">and Antioxidant Effects </w:t>
      </w:r>
      <w:r w:rsidR="006028C1" w:rsidRPr="006D211D">
        <w:rPr>
          <w:rFonts w:ascii="Arial" w:eastAsia="Times New Roman" w:hAnsi="Arial" w:cs="Arial"/>
          <w:b/>
          <w:bCs/>
          <w:color w:val="auto"/>
          <w:sz w:val="28"/>
          <w:szCs w:val="28"/>
          <w:lang w:val="en-US" w:eastAsia="pt-BR"/>
        </w:rPr>
        <w:t>o</w:t>
      </w:r>
      <w:r w:rsidR="00F72E00" w:rsidRPr="006D211D">
        <w:rPr>
          <w:rFonts w:ascii="Arial" w:eastAsia="Times New Roman" w:hAnsi="Arial" w:cs="Arial"/>
          <w:b/>
          <w:bCs/>
          <w:color w:val="auto"/>
          <w:sz w:val="28"/>
          <w:szCs w:val="28"/>
          <w:lang w:val="en-US" w:eastAsia="pt-BR"/>
        </w:rPr>
        <w:t xml:space="preserve">f </w:t>
      </w:r>
      <w:proofErr w:type="spellStart"/>
      <w:r w:rsidRPr="006D211D">
        <w:rPr>
          <w:rFonts w:ascii="Arial" w:eastAsia="Times New Roman" w:hAnsi="Arial" w:cs="Arial"/>
          <w:b/>
          <w:bCs/>
          <w:i/>
          <w:iCs/>
          <w:color w:val="auto"/>
          <w:sz w:val="28"/>
          <w:szCs w:val="28"/>
          <w:lang w:val="en-US" w:eastAsia="pt-BR"/>
        </w:rPr>
        <w:t>Pereskia</w:t>
      </w:r>
      <w:proofErr w:type="spellEnd"/>
      <w:r w:rsidRPr="006D211D">
        <w:rPr>
          <w:rFonts w:ascii="Arial" w:eastAsia="Times New Roman" w:hAnsi="Arial" w:cs="Arial"/>
          <w:b/>
          <w:bCs/>
          <w:i/>
          <w:iCs/>
          <w:color w:val="auto"/>
          <w:sz w:val="28"/>
          <w:szCs w:val="28"/>
          <w:lang w:val="en-US" w:eastAsia="pt-BR"/>
        </w:rPr>
        <w:t xml:space="preserve"> </w:t>
      </w:r>
      <w:r w:rsidR="00F72E00" w:rsidRPr="006D211D">
        <w:rPr>
          <w:rFonts w:ascii="Arial" w:eastAsia="Times New Roman" w:hAnsi="Arial" w:cs="Arial"/>
          <w:b/>
          <w:bCs/>
          <w:i/>
          <w:iCs/>
          <w:color w:val="auto"/>
          <w:sz w:val="28"/>
          <w:szCs w:val="28"/>
          <w:lang w:val="en-US" w:eastAsia="pt-BR"/>
        </w:rPr>
        <w:t>Aculeata</w:t>
      </w:r>
      <w:r w:rsidR="00F72E00" w:rsidRPr="006D211D">
        <w:rPr>
          <w:rFonts w:ascii="Arial" w:eastAsia="Times New Roman" w:hAnsi="Arial" w:cs="Arial"/>
          <w:b/>
          <w:bCs/>
          <w:color w:val="auto"/>
          <w:sz w:val="28"/>
          <w:szCs w:val="28"/>
          <w:lang w:val="en-US" w:eastAsia="pt-BR"/>
        </w:rPr>
        <w:t xml:space="preserve"> </w:t>
      </w:r>
      <w:r w:rsidRPr="006D211D">
        <w:rPr>
          <w:rFonts w:ascii="Arial" w:eastAsia="Times New Roman" w:hAnsi="Arial" w:cs="Arial"/>
          <w:b/>
          <w:bCs/>
          <w:color w:val="auto"/>
          <w:sz w:val="28"/>
          <w:szCs w:val="28"/>
          <w:lang w:val="en-US" w:eastAsia="pt-BR"/>
        </w:rPr>
        <w:t xml:space="preserve">Miller </w:t>
      </w:r>
      <w:r w:rsidR="00F72E00" w:rsidRPr="006D211D">
        <w:rPr>
          <w:rFonts w:ascii="Arial" w:eastAsia="Times New Roman" w:hAnsi="Arial" w:cs="Arial"/>
          <w:b/>
          <w:bCs/>
          <w:color w:val="auto"/>
          <w:sz w:val="28"/>
          <w:szCs w:val="28"/>
          <w:lang w:val="en-US" w:eastAsia="pt-BR"/>
        </w:rPr>
        <w:t>(Ora-Pro-</w:t>
      </w:r>
      <w:proofErr w:type="spellStart"/>
      <w:r w:rsidR="00F72E00" w:rsidRPr="006D211D">
        <w:rPr>
          <w:rFonts w:ascii="Arial" w:eastAsia="Times New Roman" w:hAnsi="Arial" w:cs="Arial"/>
          <w:b/>
          <w:bCs/>
          <w:color w:val="auto"/>
          <w:sz w:val="28"/>
          <w:szCs w:val="28"/>
          <w:lang w:val="en-US" w:eastAsia="pt-BR"/>
        </w:rPr>
        <w:t>Nóbis</w:t>
      </w:r>
      <w:proofErr w:type="spellEnd"/>
      <w:r w:rsidR="00F72E00" w:rsidRPr="006D211D">
        <w:rPr>
          <w:rFonts w:ascii="Arial" w:eastAsia="Times New Roman" w:hAnsi="Arial" w:cs="Arial"/>
          <w:b/>
          <w:bCs/>
          <w:color w:val="auto"/>
          <w:sz w:val="28"/>
          <w:szCs w:val="28"/>
          <w:lang w:val="en-US" w:eastAsia="pt-BR"/>
        </w:rPr>
        <w:t>) Against Acetaminophen-Induced Liver Injury in Mice</w:t>
      </w:r>
      <w:bookmarkEnd w:id="11"/>
    </w:p>
    <w:p w14:paraId="0A6525E9" w14:textId="74ECAEB5"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eastAsia="pt-BR"/>
        </w:rPr>
      </w:pPr>
      <w:r w:rsidRPr="000C2BE9">
        <w:rPr>
          <w:rFonts w:ascii="Arial" w:eastAsia="Times New Roman" w:hAnsi="Arial" w:cs="Arial"/>
          <w:b/>
          <w:bCs/>
          <w:sz w:val="20"/>
          <w:szCs w:val="20"/>
          <w:lang w:eastAsia="pt-BR"/>
        </w:rPr>
        <w:t xml:space="preserve">Marla </w:t>
      </w:r>
      <w:proofErr w:type="spellStart"/>
      <w:r w:rsidRPr="000C2BE9">
        <w:rPr>
          <w:rFonts w:ascii="Arial" w:eastAsia="Times New Roman" w:hAnsi="Arial" w:cs="Arial"/>
          <w:b/>
          <w:bCs/>
          <w:sz w:val="20"/>
          <w:szCs w:val="20"/>
          <w:lang w:eastAsia="pt-BR"/>
        </w:rPr>
        <w:t>Bremide</w:t>
      </w:r>
      <w:proofErr w:type="spellEnd"/>
      <w:r w:rsidRPr="000C2BE9">
        <w:rPr>
          <w:rFonts w:ascii="Arial" w:eastAsia="Times New Roman" w:hAnsi="Arial" w:cs="Arial"/>
          <w:b/>
          <w:bCs/>
          <w:sz w:val="20"/>
          <w:szCs w:val="20"/>
          <w:lang w:eastAsia="pt-BR"/>
        </w:rPr>
        <w:t xml:space="preserve"> dos Santos¹; </w:t>
      </w:r>
      <w:proofErr w:type="spellStart"/>
      <w:r w:rsidRPr="000C2BE9">
        <w:rPr>
          <w:rFonts w:ascii="Arial" w:eastAsia="Times New Roman" w:hAnsi="Arial" w:cs="Arial"/>
          <w:b/>
          <w:bCs/>
          <w:sz w:val="20"/>
          <w:szCs w:val="20"/>
          <w:lang w:eastAsia="pt-BR"/>
        </w:rPr>
        <w:t>Rebeka</w:t>
      </w:r>
      <w:proofErr w:type="spellEnd"/>
      <w:r w:rsidRPr="000C2BE9">
        <w:rPr>
          <w:rFonts w:ascii="Arial" w:eastAsia="Times New Roman" w:hAnsi="Arial" w:cs="Arial"/>
          <w:b/>
          <w:bCs/>
          <w:sz w:val="20"/>
          <w:szCs w:val="20"/>
          <w:lang w:eastAsia="pt-BR"/>
        </w:rPr>
        <w:t xml:space="preserve"> </w:t>
      </w:r>
      <w:proofErr w:type="spellStart"/>
      <w:r w:rsidRPr="000C2BE9">
        <w:rPr>
          <w:rFonts w:ascii="Arial" w:eastAsia="Times New Roman" w:hAnsi="Arial" w:cs="Arial"/>
          <w:b/>
          <w:bCs/>
          <w:sz w:val="20"/>
          <w:szCs w:val="20"/>
          <w:lang w:eastAsia="pt-BR"/>
        </w:rPr>
        <w:t>Julianna</w:t>
      </w:r>
      <w:proofErr w:type="spellEnd"/>
      <w:r w:rsidRPr="000C2BE9">
        <w:rPr>
          <w:rFonts w:ascii="Arial" w:eastAsia="Times New Roman" w:hAnsi="Arial" w:cs="Arial"/>
          <w:b/>
          <w:bCs/>
          <w:sz w:val="20"/>
          <w:szCs w:val="20"/>
          <w:lang w:eastAsia="pt-BR"/>
        </w:rPr>
        <w:t xml:space="preserve"> Moraes¹; Daniela Batista de Castro¹</w:t>
      </w:r>
      <w:r>
        <w:rPr>
          <w:rFonts w:ascii="Arial" w:eastAsia="Times New Roman" w:hAnsi="Arial" w:cs="Arial"/>
          <w:b/>
          <w:bCs/>
          <w:sz w:val="20"/>
          <w:szCs w:val="20"/>
          <w:lang w:eastAsia="pt-BR"/>
        </w:rPr>
        <w:t>*</w:t>
      </w:r>
      <w:r w:rsidRPr="000C2BE9">
        <w:rPr>
          <w:rFonts w:ascii="Arial" w:eastAsia="Times New Roman" w:hAnsi="Arial" w:cs="Arial"/>
          <w:b/>
          <w:bCs/>
          <w:sz w:val="20"/>
          <w:szCs w:val="20"/>
          <w:lang w:eastAsia="pt-BR"/>
        </w:rPr>
        <w:t>; Alice Rosa Fernandes Bis¹; Homero Gava Valani¹; Rafaela Aires¹</w:t>
      </w:r>
    </w:p>
    <w:p w14:paraId="007E080E" w14:textId="5A342BA8"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Pr="000C2BE9">
        <w:rPr>
          <w:rFonts w:ascii="Arial" w:eastAsia="Times New Roman" w:hAnsi="Arial" w:cs="Arial"/>
          <w:i/>
          <w:iCs/>
          <w:sz w:val="20"/>
          <w:szCs w:val="20"/>
          <w:lang w:eastAsia="pt-BR"/>
        </w:rPr>
        <w:t>danielabdecastro01@gmail.com</w:t>
      </w:r>
    </w:p>
    <w:p w14:paraId="4DF55DF8" w14:textId="26CF21FD" w:rsidR="000C2BE9" w:rsidRPr="000C2BE9" w:rsidRDefault="000C2BE9" w:rsidP="000C2BE9">
      <w:pPr>
        <w:spacing w:before="100" w:beforeAutospacing="1" w:after="100" w:afterAutospacing="1"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¹Universidade de Vila Velha (UVV), Vila Velha, ES, Brasil</w:t>
      </w:r>
    </w:p>
    <w:p w14:paraId="5922CAE9" w14:textId="77777777" w:rsidR="000C2BE9" w:rsidRPr="009E6ED0" w:rsidRDefault="000C2BE9" w:rsidP="000C2BE9">
      <w:pPr>
        <w:spacing w:after="0" w:line="240" w:lineRule="auto"/>
        <w:jc w:val="both"/>
        <w:rPr>
          <w:rFonts w:ascii="Arial" w:eastAsia="Times New Roman" w:hAnsi="Arial" w:cs="Arial"/>
          <w:sz w:val="18"/>
          <w:szCs w:val="18"/>
          <w:lang w:val="en-US" w:eastAsia="pt-BR"/>
        </w:rPr>
      </w:pPr>
      <w:r w:rsidRPr="00C26F74">
        <w:rPr>
          <w:rFonts w:ascii="Arial" w:eastAsia="Times New Roman" w:hAnsi="Arial" w:cs="Arial"/>
          <w:b/>
          <w:bCs/>
          <w:sz w:val="18"/>
          <w:szCs w:val="18"/>
          <w:lang w:val="en-US" w:eastAsia="pt-BR"/>
        </w:rPr>
        <w:t>Thematic Session:</w:t>
      </w:r>
      <w:r w:rsidRPr="00C26F74">
        <w:rPr>
          <w:rFonts w:ascii="Arial" w:eastAsia="Times New Roman" w:hAnsi="Arial" w:cs="Arial"/>
          <w:sz w:val="18"/>
          <w:szCs w:val="18"/>
          <w:lang w:val="en-US" w:eastAsia="pt-BR"/>
        </w:rPr>
        <w:t xml:space="preserve"> Pathophysiology and Triggering Factors of Human and Animal Diseases.</w:t>
      </w:r>
    </w:p>
    <w:p w14:paraId="5DF5DE46" w14:textId="77777777"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val="en-US" w:eastAsia="pt-BR"/>
        </w:rPr>
      </w:pPr>
      <w:r w:rsidRPr="000C2BE9">
        <w:rPr>
          <w:rFonts w:ascii="Arial" w:eastAsia="Times New Roman" w:hAnsi="Arial" w:cs="Arial"/>
          <w:b/>
          <w:bCs/>
          <w:sz w:val="20"/>
          <w:szCs w:val="20"/>
          <w:lang w:val="en-US" w:eastAsia="pt-BR"/>
        </w:rPr>
        <w:t>INTRODUCTION:</w:t>
      </w:r>
      <w:r w:rsidRPr="000C2BE9">
        <w:rPr>
          <w:rFonts w:ascii="Arial" w:eastAsia="Times New Roman" w:hAnsi="Arial" w:cs="Arial"/>
          <w:sz w:val="20"/>
          <w:szCs w:val="20"/>
          <w:lang w:val="en-US" w:eastAsia="pt-BR"/>
        </w:rPr>
        <w:t xml:space="preserve"> </w:t>
      </w:r>
      <w:proofErr w:type="spellStart"/>
      <w:r w:rsidRPr="000C2BE9">
        <w:rPr>
          <w:rFonts w:ascii="Arial" w:eastAsia="Times New Roman" w:hAnsi="Arial" w:cs="Arial"/>
          <w:i/>
          <w:iCs/>
          <w:sz w:val="20"/>
          <w:szCs w:val="20"/>
          <w:lang w:val="en-US" w:eastAsia="pt-BR"/>
        </w:rPr>
        <w:t>Pereskia</w:t>
      </w:r>
      <w:proofErr w:type="spellEnd"/>
      <w:r w:rsidRPr="000C2BE9">
        <w:rPr>
          <w:rFonts w:ascii="Arial" w:eastAsia="Times New Roman" w:hAnsi="Arial" w:cs="Arial"/>
          <w:i/>
          <w:iCs/>
          <w:sz w:val="20"/>
          <w:szCs w:val="20"/>
          <w:lang w:val="en-US" w:eastAsia="pt-BR"/>
        </w:rPr>
        <w:t xml:space="preserve"> aculeata</w:t>
      </w:r>
      <w:r w:rsidRPr="000C2BE9">
        <w:rPr>
          <w:rFonts w:ascii="Arial" w:eastAsia="Times New Roman" w:hAnsi="Arial" w:cs="Arial"/>
          <w:sz w:val="20"/>
          <w:szCs w:val="20"/>
          <w:lang w:val="en-US" w:eastAsia="pt-BR"/>
        </w:rPr>
        <w:t xml:space="preserve"> Miller (</w:t>
      </w:r>
      <w:proofErr w:type="spellStart"/>
      <w:r w:rsidRPr="000C2BE9">
        <w:rPr>
          <w:rFonts w:ascii="Arial" w:eastAsia="Times New Roman" w:hAnsi="Arial" w:cs="Arial"/>
          <w:sz w:val="20"/>
          <w:szCs w:val="20"/>
          <w:lang w:val="en-US" w:eastAsia="pt-BR"/>
        </w:rPr>
        <w:t>ora</w:t>
      </w:r>
      <w:proofErr w:type="spellEnd"/>
      <w:r w:rsidRPr="000C2BE9">
        <w:rPr>
          <w:rFonts w:ascii="Arial" w:eastAsia="Times New Roman" w:hAnsi="Arial" w:cs="Arial"/>
          <w:sz w:val="20"/>
          <w:szCs w:val="20"/>
          <w:lang w:val="en-US" w:eastAsia="pt-BR"/>
        </w:rPr>
        <w:t>-pro-</w:t>
      </w:r>
      <w:proofErr w:type="spellStart"/>
      <w:r w:rsidRPr="000C2BE9">
        <w:rPr>
          <w:rFonts w:ascii="Arial" w:eastAsia="Times New Roman" w:hAnsi="Arial" w:cs="Arial"/>
          <w:sz w:val="20"/>
          <w:szCs w:val="20"/>
          <w:lang w:val="en-US" w:eastAsia="pt-BR"/>
        </w:rPr>
        <w:t>nóbis</w:t>
      </w:r>
      <w:proofErr w:type="spellEnd"/>
      <w:r w:rsidRPr="000C2BE9">
        <w:rPr>
          <w:rFonts w:ascii="Arial" w:eastAsia="Times New Roman" w:hAnsi="Arial" w:cs="Arial"/>
          <w:sz w:val="20"/>
          <w:szCs w:val="20"/>
          <w:lang w:val="en-US" w:eastAsia="pt-BR"/>
        </w:rPr>
        <w:t xml:space="preserve">, OPN), a plant native to Brazil and traditionally used in folk medicine, has drawn increasing attention due to its therapeutic potential. Its bioactive components, such as flavonoids, phenolic compounds, and amino acids, exhibit significant antioxidant activity and a potential protective role in conditions associated with oxidative stress. In this context, acetaminophen (paracetamol) intoxication represents the leading cause of liver injury and acute liver failure. At elevated concentrations, acetaminophen leads to the accumulation of the metabolite N-acetyl-p-benzoquinone imine (NAPQI), which interacts with mitochondrial proteins, triggering oxidative stress, mitochondrial dysfunction, DNA fragmentation, and ultimately, hepatocyte necrosis. </w:t>
      </w:r>
      <w:r w:rsidRPr="000C2BE9">
        <w:rPr>
          <w:rFonts w:ascii="Arial" w:eastAsia="Times New Roman" w:hAnsi="Arial" w:cs="Arial"/>
          <w:b/>
          <w:bCs/>
          <w:sz w:val="20"/>
          <w:szCs w:val="20"/>
          <w:lang w:val="en-US" w:eastAsia="pt-BR"/>
        </w:rPr>
        <w:t>OBJECTIVE:</w:t>
      </w:r>
      <w:r w:rsidRPr="000C2BE9">
        <w:rPr>
          <w:rFonts w:ascii="Arial" w:eastAsia="Times New Roman" w:hAnsi="Arial" w:cs="Arial"/>
          <w:sz w:val="20"/>
          <w:szCs w:val="20"/>
          <w:lang w:val="en-US" w:eastAsia="pt-BR"/>
        </w:rPr>
        <w:t xml:space="preserve"> To evaluate the antioxidant and antigenotoxic effects of OPN in an experimental model of acute hepatotoxicity induced by acetaminophen. </w:t>
      </w:r>
      <w:r w:rsidRPr="000C2BE9">
        <w:rPr>
          <w:rFonts w:ascii="Arial" w:eastAsia="Times New Roman" w:hAnsi="Arial" w:cs="Arial"/>
          <w:b/>
          <w:bCs/>
          <w:sz w:val="20"/>
          <w:szCs w:val="20"/>
          <w:lang w:val="en-US" w:eastAsia="pt-BR"/>
        </w:rPr>
        <w:t>METHODOLOGY:</w:t>
      </w:r>
      <w:r w:rsidRPr="000C2BE9">
        <w:rPr>
          <w:rFonts w:ascii="Arial" w:eastAsia="Times New Roman" w:hAnsi="Arial" w:cs="Arial"/>
          <w:sz w:val="20"/>
          <w:szCs w:val="20"/>
          <w:lang w:val="en-US" w:eastAsia="pt-BR"/>
        </w:rPr>
        <w:t xml:space="preserve"> The in vitro antioxidant activity of OPN extract was assessed using the ferric reducing antioxidant power (FRAP) assay. For the in vivo analysis, male Swiss mice were distributed into four groups: control, paracetamol (APAP), OPN 300 mg/kg, and OPN 1000 mg/kg. After five days of treatment with OPN by gavage, all groups except the control received acetaminophen (300 mg/kg, </w:t>
      </w:r>
      <w:proofErr w:type="spellStart"/>
      <w:r w:rsidRPr="000C2BE9">
        <w:rPr>
          <w:rFonts w:ascii="Arial" w:eastAsia="Times New Roman" w:hAnsi="Arial" w:cs="Arial"/>
          <w:sz w:val="20"/>
          <w:szCs w:val="20"/>
          <w:lang w:val="en-US" w:eastAsia="pt-BR"/>
        </w:rPr>
        <w:t>i.p.</w:t>
      </w:r>
      <w:proofErr w:type="spellEnd"/>
      <w:r w:rsidRPr="000C2BE9">
        <w:rPr>
          <w:rFonts w:ascii="Arial" w:eastAsia="Times New Roman" w:hAnsi="Arial" w:cs="Arial"/>
          <w:sz w:val="20"/>
          <w:szCs w:val="20"/>
          <w:lang w:val="en-US" w:eastAsia="pt-BR"/>
        </w:rPr>
        <w:t xml:space="preserve">). After 24 hours, a blood sample was collected to determine serum levels of alanine aminotransferase (ALT), aspartate aminotransferase (AST), and the liver was collected for histological analysis and evaluation of advanced oxidation protein products (AOPP) and </w:t>
      </w:r>
      <w:proofErr w:type="spellStart"/>
      <w:r w:rsidRPr="000C2BE9">
        <w:rPr>
          <w:rFonts w:ascii="Arial" w:eastAsia="Times New Roman" w:hAnsi="Arial" w:cs="Arial"/>
          <w:sz w:val="20"/>
          <w:szCs w:val="20"/>
          <w:lang w:val="en-US" w:eastAsia="pt-BR"/>
        </w:rPr>
        <w:t>thiobarbituric</w:t>
      </w:r>
      <w:proofErr w:type="spellEnd"/>
      <w:r w:rsidRPr="000C2BE9">
        <w:rPr>
          <w:rFonts w:ascii="Arial" w:eastAsia="Times New Roman" w:hAnsi="Arial" w:cs="Arial"/>
          <w:sz w:val="20"/>
          <w:szCs w:val="20"/>
          <w:lang w:val="en-US" w:eastAsia="pt-BR"/>
        </w:rPr>
        <w:t xml:space="preserve"> acid reactive substances (TBARS), reactive oxygen species (ROS) production (flow cytometry), and DNA damage (alkaline comet assay). Data were analyzed using ANOVA followed by Tukey’s test, with significance set at p&lt;0.05. CEUA-UVV: 710-2024. </w:t>
      </w:r>
      <w:r w:rsidRPr="000C2BE9">
        <w:rPr>
          <w:rFonts w:ascii="Arial" w:eastAsia="Times New Roman" w:hAnsi="Arial" w:cs="Arial"/>
          <w:b/>
          <w:bCs/>
          <w:sz w:val="20"/>
          <w:szCs w:val="20"/>
          <w:lang w:val="en-US" w:eastAsia="pt-BR"/>
        </w:rPr>
        <w:t>RESULTS AND DISCUSSION:</w:t>
      </w:r>
      <w:r w:rsidRPr="000C2BE9">
        <w:rPr>
          <w:rFonts w:ascii="Arial" w:eastAsia="Times New Roman" w:hAnsi="Arial" w:cs="Arial"/>
          <w:sz w:val="20"/>
          <w:szCs w:val="20"/>
          <w:lang w:val="en-US" w:eastAsia="pt-BR"/>
        </w:rPr>
        <w:t xml:space="preserve"> Initially, it was observed that 1 mg/mL of OPN extract exhibited ferric reducing capacity equivalent to 19 µg/mL of ferrous sulfate (19.12 ± 0.84). In the in vivo experiments, paracetamol administration significantly increased ALT and AST levels compared with the CON group. Pretreatment with OPN at 1000 mg/kg reduced both enzymes, indicating attenuation of hepatocellular injury. The group treated with OPN 1000 mg/kg showed a smaller necrotic area in liver tissue, indicating a hepatoprotective effect. Regarding antioxidant activity, the OPN 1000 mg/kg group exhibited significantly lower ROS production levels (17.254 ± 913 </w:t>
      </w:r>
      <w:proofErr w:type="spellStart"/>
      <w:r w:rsidRPr="000C2BE9">
        <w:rPr>
          <w:rFonts w:ascii="Arial" w:eastAsia="Times New Roman" w:hAnsi="Arial" w:cs="Arial"/>
          <w:sz w:val="20"/>
          <w:szCs w:val="20"/>
          <w:lang w:val="en-US" w:eastAsia="pt-BR"/>
        </w:rPr>
        <w:t>a.u</w:t>
      </w:r>
      <w:proofErr w:type="spellEnd"/>
      <w:r w:rsidRPr="000C2BE9">
        <w:rPr>
          <w:rFonts w:ascii="Arial" w:eastAsia="Times New Roman" w:hAnsi="Arial" w:cs="Arial"/>
          <w:sz w:val="20"/>
          <w:szCs w:val="20"/>
          <w:lang w:val="en-US" w:eastAsia="pt-BR"/>
        </w:rPr>
        <w:t xml:space="preserve">.) compared to the APAP group (81.863 ± 1,640 </w:t>
      </w:r>
      <w:proofErr w:type="spellStart"/>
      <w:r w:rsidRPr="000C2BE9">
        <w:rPr>
          <w:rFonts w:ascii="Arial" w:eastAsia="Times New Roman" w:hAnsi="Arial" w:cs="Arial"/>
          <w:sz w:val="20"/>
          <w:szCs w:val="20"/>
          <w:lang w:val="en-US" w:eastAsia="pt-BR"/>
        </w:rPr>
        <w:t>a.u</w:t>
      </w:r>
      <w:proofErr w:type="spellEnd"/>
      <w:r w:rsidRPr="000C2BE9">
        <w:rPr>
          <w:rFonts w:ascii="Arial" w:eastAsia="Times New Roman" w:hAnsi="Arial" w:cs="Arial"/>
          <w:sz w:val="20"/>
          <w:szCs w:val="20"/>
          <w:lang w:val="en-US" w:eastAsia="pt-BR"/>
        </w:rPr>
        <w:t xml:space="preserve">.). APAP exposure elevated AOPP (CON: 0.78 ± 0.07; APAP: 1.28 ± 0.05 µmol/mg) and TBARS (CON: 0.018 ± 0.002; APAP: 0.043 ± 0.001 µmol/mL), reflecting oxidative damage to proteins and lipids. These markers were significantly reduced in animals treated with OPN, particularly at the 1000 mg/kg dose, demonstrating its antioxidant and hepatoprotective effects (AOPP: 0.92 ± 0.08 µmol/mg; TBARS: 0.025 ± 0.004 µmol/mL). Moreover, pretreatment with OPN 1000 mg/kg attenuated DNA fragmentation in hepatic cells (APAP: 57.1 ± 0.6%; OPN 1000: 42.7 ± 3.4%). These findings suggest that the hepatoprotective effect of OPN is closely associated with its antioxidant capacity, consistent with previous reports showing that phenolic compounds and flavonoids present in OPN act as free radical scavengers. </w:t>
      </w:r>
      <w:r w:rsidRPr="000C2BE9">
        <w:rPr>
          <w:rFonts w:ascii="Arial" w:eastAsia="Times New Roman" w:hAnsi="Arial" w:cs="Arial"/>
          <w:b/>
          <w:bCs/>
          <w:sz w:val="20"/>
          <w:szCs w:val="20"/>
          <w:lang w:val="en-US" w:eastAsia="pt-BR"/>
        </w:rPr>
        <w:t>CONCLUSIONS:</w:t>
      </w:r>
      <w:r w:rsidRPr="000C2BE9">
        <w:rPr>
          <w:rFonts w:ascii="Arial" w:eastAsia="Times New Roman" w:hAnsi="Arial" w:cs="Arial"/>
          <w:sz w:val="20"/>
          <w:szCs w:val="20"/>
          <w:lang w:val="en-US" w:eastAsia="pt-BR"/>
        </w:rPr>
        <w:t xml:space="preserve"> The results of this study reinforce scientific evidence that OPN holds therapeutic potential in the prevention and mitigation of liver injury induced by oxidative stress. Furthermore, the standardization of the extract and the development of nutraceutical or </w:t>
      </w:r>
      <w:proofErr w:type="spellStart"/>
      <w:r w:rsidRPr="000C2BE9">
        <w:rPr>
          <w:rFonts w:ascii="Arial" w:eastAsia="Times New Roman" w:hAnsi="Arial" w:cs="Arial"/>
          <w:sz w:val="20"/>
          <w:szCs w:val="20"/>
          <w:lang w:val="en-US" w:eastAsia="pt-BR"/>
        </w:rPr>
        <w:t>phytotherapeutic</w:t>
      </w:r>
      <w:proofErr w:type="spellEnd"/>
      <w:r w:rsidRPr="000C2BE9">
        <w:rPr>
          <w:rFonts w:ascii="Arial" w:eastAsia="Times New Roman" w:hAnsi="Arial" w:cs="Arial"/>
          <w:sz w:val="20"/>
          <w:szCs w:val="20"/>
          <w:lang w:val="en-US" w:eastAsia="pt-BR"/>
        </w:rPr>
        <w:t xml:space="preserve"> formulations, followed by preclinical and clinical studies, may enable the therapeutic application of OPN as a natural plant-derived hepatoprotective agent.</w:t>
      </w:r>
    </w:p>
    <w:p w14:paraId="58EB3507" w14:textId="2E72607F" w:rsidR="000C2BE9" w:rsidRPr="000C2BE9" w:rsidRDefault="000C2BE9" w:rsidP="000C2BE9">
      <w:pPr>
        <w:spacing w:before="100" w:beforeAutospacing="1" w:after="100" w:afterAutospacing="1" w:line="240" w:lineRule="auto"/>
        <w:jc w:val="both"/>
        <w:rPr>
          <w:rFonts w:ascii="Arial" w:eastAsia="Times New Roman" w:hAnsi="Arial" w:cs="Arial"/>
          <w:sz w:val="18"/>
          <w:szCs w:val="18"/>
          <w:lang w:val="en-US" w:eastAsia="pt-BR"/>
        </w:rPr>
      </w:pPr>
      <w:r w:rsidRPr="000C2BE9">
        <w:rPr>
          <w:rFonts w:ascii="Arial" w:eastAsia="Times New Roman" w:hAnsi="Arial" w:cs="Arial"/>
          <w:sz w:val="18"/>
          <w:szCs w:val="18"/>
          <w:lang w:val="en-US" w:eastAsia="pt-BR"/>
        </w:rPr>
        <w:t xml:space="preserve">Keywords: </w:t>
      </w:r>
      <w:r>
        <w:rPr>
          <w:rFonts w:ascii="Arial" w:eastAsia="Times New Roman" w:hAnsi="Arial" w:cs="Arial"/>
          <w:i/>
          <w:iCs/>
          <w:sz w:val="18"/>
          <w:szCs w:val="18"/>
          <w:lang w:val="en-US" w:eastAsia="pt-BR"/>
        </w:rPr>
        <w:t>O</w:t>
      </w:r>
      <w:r w:rsidRPr="000C2BE9">
        <w:rPr>
          <w:rFonts w:ascii="Arial" w:eastAsia="Times New Roman" w:hAnsi="Arial" w:cs="Arial"/>
          <w:i/>
          <w:iCs/>
          <w:sz w:val="18"/>
          <w:szCs w:val="18"/>
          <w:lang w:val="en-US" w:eastAsia="pt-BR"/>
        </w:rPr>
        <w:t>ra-pro-</w:t>
      </w:r>
      <w:proofErr w:type="spellStart"/>
      <w:r w:rsidRPr="000C2BE9">
        <w:rPr>
          <w:rFonts w:ascii="Arial" w:eastAsia="Times New Roman" w:hAnsi="Arial" w:cs="Arial"/>
          <w:i/>
          <w:iCs/>
          <w:sz w:val="18"/>
          <w:szCs w:val="18"/>
          <w:lang w:val="en-US" w:eastAsia="pt-BR"/>
        </w:rPr>
        <w:t>nóbis</w:t>
      </w:r>
      <w:proofErr w:type="spellEnd"/>
      <w:r w:rsidRPr="000C2BE9">
        <w:rPr>
          <w:rFonts w:ascii="Arial" w:eastAsia="Times New Roman" w:hAnsi="Arial" w:cs="Arial"/>
          <w:i/>
          <w:iCs/>
          <w:sz w:val="18"/>
          <w:szCs w:val="18"/>
          <w:lang w:val="en-US" w:eastAsia="pt-BR"/>
        </w:rPr>
        <w:t xml:space="preserve">; </w:t>
      </w:r>
      <w:r>
        <w:rPr>
          <w:rFonts w:ascii="Arial" w:eastAsia="Times New Roman" w:hAnsi="Arial" w:cs="Arial"/>
          <w:i/>
          <w:iCs/>
          <w:sz w:val="18"/>
          <w:szCs w:val="18"/>
          <w:lang w:val="en-US" w:eastAsia="pt-BR"/>
        </w:rPr>
        <w:t>P</w:t>
      </w:r>
      <w:r w:rsidRPr="000C2BE9">
        <w:rPr>
          <w:rFonts w:ascii="Arial" w:eastAsia="Times New Roman" w:hAnsi="Arial" w:cs="Arial"/>
          <w:i/>
          <w:iCs/>
          <w:sz w:val="18"/>
          <w:szCs w:val="18"/>
          <w:lang w:val="en-US" w:eastAsia="pt-BR"/>
        </w:rPr>
        <w:t xml:space="preserve">aracetamol; </w:t>
      </w:r>
      <w:r>
        <w:rPr>
          <w:rFonts w:ascii="Arial" w:eastAsia="Times New Roman" w:hAnsi="Arial" w:cs="Arial"/>
          <w:i/>
          <w:iCs/>
          <w:sz w:val="18"/>
          <w:szCs w:val="18"/>
          <w:lang w:val="en-US" w:eastAsia="pt-BR"/>
        </w:rPr>
        <w:t>H</w:t>
      </w:r>
      <w:r w:rsidRPr="000C2BE9">
        <w:rPr>
          <w:rFonts w:ascii="Arial" w:eastAsia="Times New Roman" w:hAnsi="Arial" w:cs="Arial"/>
          <w:i/>
          <w:iCs/>
          <w:sz w:val="18"/>
          <w:szCs w:val="18"/>
          <w:lang w:val="en-US" w:eastAsia="pt-BR"/>
        </w:rPr>
        <w:t xml:space="preserve">epatotoxicity; </w:t>
      </w:r>
      <w:r>
        <w:rPr>
          <w:rFonts w:ascii="Arial" w:eastAsia="Times New Roman" w:hAnsi="Arial" w:cs="Arial"/>
          <w:i/>
          <w:iCs/>
          <w:sz w:val="18"/>
          <w:szCs w:val="18"/>
          <w:lang w:val="en-US" w:eastAsia="pt-BR"/>
        </w:rPr>
        <w:t>N</w:t>
      </w:r>
      <w:r w:rsidRPr="000C2BE9">
        <w:rPr>
          <w:rFonts w:ascii="Arial" w:eastAsia="Times New Roman" w:hAnsi="Arial" w:cs="Arial"/>
          <w:i/>
          <w:iCs/>
          <w:sz w:val="18"/>
          <w:szCs w:val="18"/>
          <w:lang w:val="en-US" w:eastAsia="pt-BR"/>
        </w:rPr>
        <w:t xml:space="preserve">atural products; </w:t>
      </w:r>
      <w:r>
        <w:rPr>
          <w:rFonts w:ascii="Arial" w:eastAsia="Times New Roman" w:hAnsi="Arial" w:cs="Arial"/>
          <w:i/>
          <w:iCs/>
          <w:sz w:val="18"/>
          <w:szCs w:val="18"/>
          <w:lang w:val="en-US" w:eastAsia="pt-BR"/>
        </w:rPr>
        <w:t>O</w:t>
      </w:r>
      <w:r w:rsidRPr="000C2BE9">
        <w:rPr>
          <w:rFonts w:ascii="Arial" w:eastAsia="Times New Roman" w:hAnsi="Arial" w:cs="Arial"/>
          <w:i/>
          <w:iCs/>
          <w:sz w:val="18"/>
          <w:szCs w:val="18"/>
          <w:lang w:val="en-US" w:eastAsia="pt-BR"/>
        </w:rPr>
        <w:t xml:space="preserve">xidative stress; </w:t>
      </w:r>
      <w:r>
        <w:rPr>
          <w:rFonts w:ascii="Arial" w:eastAsia="Times New Roman" w:hAnsi="Arial" w:cs="Arial"/>
          <w:i/>
          <w:iCs/>
          <w:sz w:val="18"/>
          <w:szCs w:val="18"/>
          <w:lang w:val="en-US" w:eastAsia="pt-BR"/>
        </w:rPr>
        <w:t>A</w:t>
      </w:r>
      <w:r w:rsidRPr="000C2BE9">
        <w:rPr>
          <w:rFonts w:ascii="Arial" w:eastAsia="Times New Roman" w:hAnsi="Arial" w:cs="Arial"/>
          <w:i/>
          <w:iCs/>
          <w:sz w:val="18"/>
          <w:szCs w:val="18"/>
          <w:lang w:val="en-US" w:eastAsia="pt-BR"/>
        </w:rPr>
        <w:t>ntioxidants.</w:t>
      </w:r>
    </w:p>
    <w:p w14:paraId="01E8A2F7" w14:textId="158D06D4" w:rsidR="000C2BE9" w:rsidRPr="000C2BE9" w:rsidRDefault="006835D3" w:rsidP="000C2BE9">
      <w:pPr>
        <w:spacing w:before="100" w:beforeAutospacing="1" w:after="100" w:afterAutospacing="1" w:line="240" w:lineRule="auto"/>
        <w:jc w:val="both"/>
        <w:rPr>
          <w:rFonts w:ascii="Arial" w:eastAsia="Times New Roman" w:hAnsi="Arial" w:cs="Arial"/>
          <w:sz w:val="20"/>
          <w:szCs w:val="20"/>
          <w:lang w:val="en-US" w:eastAsia="pt-BR"/>
        </w:rPr>
      </w:pPr>
      <w:r w:rsidRPr="008D64CA">
        <w:rPr>
          <w:rFonts w:ascii="Arial" w:eastAsia="Times New Roman" w:hAnsi="Arial" w:cs="Arial"/>
          <w:sz w:val="20"/>
          <w:szCs w:val="20"/>
          <w:lang w:val="en-US" w:eastAsia="pt-BR"/>
        </w:rPr>
        <w:t xml:space="preserve">Acknowledgment: </w:t>
      </w:r>
      <w:r w:rsidR="000C2BE9" w:rsidRPr="000C2BE9">
        <w:rPr>
          <w:rFonts w:ascii="Arial" w:eastAsia="Times New Roman" w:hAnsi="Arial" w:cs="Arial"/>
          <w:sz w:val="20"/>
          <w:szCs w:val="20"/>
          <w:lang w:val="en-US" w:eastAsia="pt-BR"/>
        </w:rPr>
        <w:t>UVV, PPGCF-UVV, FAPES.</w:t>
      </w:r>
    </w:p>
    <w:p w14:paraId="1A4390C4" w14:textId="305FFD1E" w:rsidR="00A42883" w:rsidRPr="006D211D" w:rsidRDefault="00A42883" w:rsidP="006D211D">
      <w:pPr>
        <w:pStyle w:val="Ttulo1"/>
        <w:rPr>
          <w:rFonts w:ascii="Arial" w:hAnsi="Arial" w:cs="Arial"/>
          <w:b/>
          <w:bCs/>
          <w:color w:val="auto"/>
          <w:sz w:val="28"/>
          <w:szCs w:val="28"/>
        </w:rPr>
      </w:pPr>
      <w:bookmarkStart w:id="12" w:name="_Toc211954569"/>
      <w:r w:rsidRPr="006D211D">
        <w:rPr>
          <w:rFonts w:ascii="Arial" w:hAnsi="Arial" w:cs="Arial"/>
          <w:b/>
          <w:bCs/>
          <w:color w:val="auto"/>
          <w:sz w:val="28"/>
          <w:szCs w:val="28"/>
          <w:lang w:val="en-US"/>
        </w:rPr>
        <w:lastRenderedPageBreak/>
        <w:t>Development and Standardization of an Experimental</w:t>
      </w:r>
      <w:r w:rsidR="006D211D">
        <w:rPr>
          <w:rFonts w:ascii="Arial" w:hAnsi="Arial" w:cs="Arial"/>
          <w:b/>
          <w:bCs/>
          <w:color w:val="auto"/>
          <w:sz w:val="28"/>
          <w:szCs w:val="28"/>
          <w:lang w:val="en-US"/>
        </w:rPr>
        <w:t xml:space="preserve"> </w:t>
      </w:r>
      <w:r w:rsidRPr="006D211D">
        <w:rPr>
          <w:rFonts w:ascii="Arial" w:hAnsi="Arial" w:cs="Arial"/>
          <w:b/>
          <w:bCs/>
          <w:color w:val="auto"/>
          <w:sz w:val="28"/>
          <w:szCs w:val="28"/>
          <w:lang w:val="en-US"/>
        </w:rPr>
        <w:t>Nephropathy Model Using Nonsteroidal Anti-Inflammatory</w:t>
      </w:r>
      <w:r w:rsidR="006D211D">
        <w:rPr>
          <w:rFonts w:ascii="Arial" w:hAnsi="Arial" w:cs="Arial"/>
          <w:b/>
          <w:bCs/>
          <w:color w:val="auto"/>
          <w:sz w:val="28"/>
          <w:szCs w:val="28"/>
          <w:lang w:val="en-US"/>
        </w:rPr>
        <w:t xml:space="preserve"> </w:t>
      </w:r>
      <w:proofErr w:type="spellStart"/>
      <w:r w:rsidRPr="006D211D">
        <w:rPr>
          <w:rFonts w:ascii="Arial" w:hAnsi="Arial" w:cs="Arial"/>
          <w:b/>
          <w:bCs/>
          <w:color w:val="auto"/>
          <w:sz w:val="28"/>
          <w:szCs w:val="28"/>
        </w:rPr>
        <w:t>Drugs</w:t>
      </w:r>
      <w:bookmarkEnd w:id="12"/>
      <w:proofErr w:type="spellEnd"/>
    </w:p>
    <w:p w14:paraId="1CED2BC4" w14:textId="02588DC6"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eastAsia="pt-BR"/>
        </w:rPr>
      </w:pPr>
      <w:r w:rsidRPr="000C2BE9">
        <w:rPr>
          <w:rFonts w:ascii="Arial" w:eastAsia="Times New Roman" w:hAnsi="Arial" w:cs="Arial"/>
          <w:b/>
          <w:bCs/>
          <w:sz w:val="20"/>
          <w:szCs w:val="20"/>
          <w:lang w:eastAsia="pt-BR"/>
        </w:rPr>
        <w:t>Daniela Batista de Castro¹; Débora de Souza Braz¹; Talita Carvalho de Oliveira Gonçalves¹; Bianca Prandi Campagnaro¹; Rafaela Aires¹; Thiago de Melo Costa Pereira¹</w:t>
      </w:r>
    </w:p>
    <w:p w14:paraId="1FBD2798" w14:textId="12E6350F"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eastAsia="pt-BR"/>
        </w:rPr>
      </w:pPr>
      <w:r w:rsidRPr="000C2BE9">
        <w:rPr>
          <w:rFonts w:ascii="Arial" w:eastAsia="Times New Roman" w:hAnsi="Arial" w:cs="Arial"/>
          <w:i/>
          <w:iCs/>
          <w:sz w:val="20"/>
          <w:szCs w:val="20"/>
          <w:lang w:eastAsia="pt-BR"/>
        </w:rPr>
        <w:t>dani.enf.work@hotmail.com</w:t>
      </w:r>
    </w:p>
    <w:p w14:paraId="36A4C6BD" w14:textId="77777777" w:rsidR="000C2BE9" w:rsidRPr="000C2BE9" w:rsidRDefault="000C2BE9" w:rsidP="000C2BE9">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¹Universidade de Vila Velha (UVV), Vila Velha, ES, Brasil;</w:t>
      </w:r>
    </w:p>
    <w:p w14:paraId="5C89796A" w14:textId="5C4E0C0F" w:rsidR="000C2BE9" w:rsidRDefault="000C2BE9" w:rsidP="000C2BE9">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²Farmanguinhos, FIOCRUZ, Rio de Janeiro, RJ.</w:t>
      </w:r>
    </w:p>
    <w:p w14:paraId="0713EE33" w14:textId="77777777" w:rsidR="000C2BE9" w:rsidRPr="000C2BE9" w:rsidRDefault="000C2BE9" w:rsidP="000C2BE9">
      <w:pPr>
        <w:spacing w:after="0" w:line="240" w:lineRule="auto"/>
        <w:jc w:val="both"/>
        <w:rPr>
          <w:rFonts w:ascii="Arial" w:eastAsia="Times New Roman" w:hAnsi="Arial" w:cs="Arial"/>
          <w:i/>
          <w:iCs/>
          <w:sz w:val="18"/>
          <w:szCs w:val="18"/>
          <w:lang w:eastAsia="pt-BR"/>
        </w:rPr>
      </w:pPr>
    </w:p>
    <w:p w14:paraId="25BD34BF" w14:textId="22A5E109" w:rsidR="000C2BE9" w:rsidRDefault="000C2BE9" w:rsidP="000C2BE9">
      <w:pPr>
        <w:spacing w:after="0" w:line="240" w:lineRule="auto"/>
        <w:jc w:val="both"/>
        <w:rPr>
          <w:rFonts w:ascii="Arial" w:eastAsia="Times New Roman" w:hAnsi="Arial" w:cs="Arial"/>
          <w:sz w:val="18"/>
          <w:szCs w:val="18"/>
          <w:lang w:val="en-US" w:eastAsia="pt-BR"/>
        </w:rPr>
      </w:pPr>
      <w:r w:rsidRPr="00C26F74">
        <w:rPr>
          <w:rFonts w:ascii="Arial" w:eastAsia="Times New Roman" w:hAnsi="Arial" w:cs="Arial"/>
          <w:b/>
          <w:bCs/>
          <w:sz w:val="18"/>
          <w:szCs w:val="18"/>
          <w:lang w:val="en-US" w:eastAsia="pt-BR"/>
        </w:rPr>
        <w:t>Thematic Session:</w:t>
      </w:r>
      <w:r w:rsidRPr="00C26F74">
        <w:rPr>
          <w:rFonts w:ascii="Arial" w:eastAsia="Times New Roman" w:hAnsi="Arial" w:cs="Arial"/>
          <w:sz w:val="18"/>
          <w:szCs w:val="18"/>
          <w:lang w:val="en-US" w:eastAsia="pt-BR"/>
        </w:rPr>
        <w:t xml:space="preserve"> Pathophysiology and Triggering Factors of Human and Animal Diseases.</w:t>
      </w:r>
    </w:p>
    <w:p w14:paraId="3CC0DABF" w14:textId="28E59D20"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val="en-US" w:eastAsia="pt-BR"/>
        </w:rPr>
      </w:pPr>
      <w:r w:rsidRPr="000C2BE9">
        <w:rPr>
          <w:rFonts w:ascii="Arial" w:eastAsia="Times New Roman" w:hAnsi="Arial" w:cs="Arial"/>
          <w:b/>
          <w:bCs/>
          <w:sz w:val="20"/>
          <w:szCs w:val="20"/>
          <w:lang w:val="en-US" w:eastAsia="pt-BR"/>
        </w:rPr>
        <w:t>INTRODUCTION:</w:t>
      </w:r>
      <w:r w:rsidRPr="000C2BE9">
        <w:rPr>
          <w:rFonts w:ascii="Arial" w:eastAsia="Times New Roman" w:hAnsi="Arial" w:cs="Arial"/>
          <w:sz w:val="20"/>
          <w:szCs w:val="20"/>
          <w:lang w:val="en-US" w:eastAsia="pt-BR"/>
        </w:rPr>
        <w:t xml:space="preserve"> The development of new therapeutic strategies in biomedicine relies heavily on in vitro and in vivo experimental models. Despite the availability of nephropathy models, many are limited by high cost or low translational relevance. Here, we describe an experimental nephropathy model induced by inhibition of prostaglandin and nitric oxide synthesis. </w:t>
      </w:r>
      <w:r w:rsidRPr="000C2BE9">
        <w:rPr>
          <w:rFonts w:ascii="Arial" w:eastAsia="Times New Roman" w:hAnsi="Arial" w:cs="Arial"/>
          <w:b/>
          <w:bCs/>
          <w:sz w:val="20"/>
          <w:szCs w:val="20"/>
          <w:lang w:val="en-US" w:eastAsia="pt-BR"/>
        </w:rPr>
        <w:t>OBJECTIVE:</w:t>
      </w:r>
      <w:r w:rsidRPr="000C2BE9">
        <w:rPr>
          <w:rFonts w:ascii="Arial" w:eastAsia="Times New Roman" w:hAnsi="Arial" w:cs="Arial"/>
          <w:sz w:val="20"/>
          <w:szCs w:val="20"/>
          <w:lang w:val="en-US" w:eastAsia="pt-BR"/>
        </w:rPr>
        <w:t xml:space="preserve"> To establish a rapidly replicable induction model that mimics key features of chronic nephropathy. </w:t>
      </w:r>
      <w:r w:rsidRPr="000C2BE9">
        <w:rPr>
          <w:rFonts w:ascii="Arial" w:eastAsia="Times New Roman" w:hAnsi="Arial" w:cs="Arial"/>
          <w:b/>
          <w:bCs/>
          <w:sz w:val="20"/>
          <w:szCs w:val="20"/>
          <w:lang w:val="en-US" w:eastAsia="pt-BR"/>
        </w:rPr>
        <w:t>METHODOLOGY:</w:t>
      </w:r>
      <w:r w:rsidRPr="000C2BE9">
        <w:rPr>
          <w:rFonts w:ascii="Arial" w:eastAsia="Times New Roman" w:hAnsi="Arial" w:cs="Arial"/>
          <w:sz w:val="20"/>
          <w:szCs w:val="20"/>
          <w:lang w:val="en-US" w:eastAsia="pt-BR"/>
        </w:rPr>
        <w:t xml:space="preserve"> Adult male Swiss mice (Ethics approval no. 654/2023) were randomly assigned to control (CON) or nephropathy-induced (NI) groups. NI animals underwent water deprivation (16 h) followed by intraperitoneal injections of indomethacin (5 mg/kg in DMSO, right iliac fossa) and L-NAME (5 mg/kg in 0.9% saline, left iliac fossa). Renal function and acute nephropathy were assessed after 24 h through plasma levels of creatinine, urea, AOPP, and TBARS. </w:t>
      </w:r>
      <w:r w:rsidRPr="000C2BE9">
        <w:rPr>
          <w:rFonts w:ascii="Arial" w:eastAsia="Times New Roman" w:hAnsi="Arial" w:cs="Arial"/>
          <w:b/>
          <w:bCs/>
          <w:sz w:val="20"/>
          <w:szCs w:val="20"/>
          <w:lang w:val="en-US" w:eastAsia="pt-BR"/>
        </w:rPr>
        <w:t>RESULTS AND DISCUSSION:</w:t>
      </w:r>
      <w:r w:rsidRPr="000C2BE9">
        <w:rPr>
          <w:rFonts w:ascii="Arial" w:eastAsia="Times New Roman" w:hAnsi="Arial" w:cs="Arial"/>
          <w:sz w:val="20"/>
          <w:szCs w:val="20"/>
          <w:lang w:val="en-US" w:eastAsia="pt-BR"/>
        </w:rPr>
        <w:t xml:space="preserve"> NI mice showed higher creatinine (0.53 ± 0.03 vs. 0.48 ± 0.03 mg/dL, p&lt;0.05) and urea (188.0 ± 21.14 vs. 86.1 ± 5.7 mg/dL, p&lt;0.05), confirming renal injury. Oxidative stress was evidenced by increased AOPP (108.5 ± 13.5 vs. 67.1 ± 12.4 nmol/mg protein, p&lt;0.05) and TBARS (0.15 ± 0.02 vs. 0.05 ± 0.01 nmol MDA/mg protein, p&lt;0.05). </w:t>
      </w:r>
      <w:r w:rsidRPr="000C2BE9">
        <w:rPr>
          <w:rFonts w:ascii="Arial" w:eastAsia="Times New Roman" w:hAnsi="Arial" w:cs="Arial"/>
          <w:b/>
          <w:bCs/>
          <w:sz w:val="20"/>
          <w:szCs w:val="20"/>
          <w:lang w:val="en-US" w:eastAsia="pt-BR"/>
        </w:rPr>
        <w:t>CONCLUSIONS:</w:t>
      </w:r>
      <w:r w:rsidRPr="000C2BE9">
        <w:rPr>
          <w:rFonts w:ascii="Arial" w:eastAsia="Times New Roman" w:hAnsi="Arial" w:cs="Arial"/>
          <w:sz w:val="20"/>
          <w:szCs w:val="20"/>
          <w:lang w:val="en-US" w:eastAsia="pt-BR"/>
        </w:rPr>
        <w:t xml:space="preserve"> This novel model provides a feasible and reproducible tool for studying acute renal injury. It may support translational research using drugs or natural products to explore new therapeutic strategies in nephrology.</w:t>
      </w:r>
    </w:p>
    <w:p w14:paraId="584F0636" w14:textId="7AD16166" w:rsidR="000C2BE9" w:rsidRPr="000C2BE9" w:rsidRDefault="000C2BE9" w:rsidP="000C2BE9">
      <w:pPr>
        <w:spacing w:before="100" w:beforeAutospacing="1" w:after="100" w:afterAutospacing="1" w:line="240" w:lineRule="auto"/>
        <w:jc w:val="both"/>
        <w:rPr>
          <w:rFonts w:ascii="Arial" w:eastAsia="Times New Roman" w:hAnsi="Arial" w:cs="Arial"/>
          <w:sz w:val="18"/>
          <w:szCs w:val="18"/>
          <w:lang w:val="en-US" w:eastAsia="pt-BR"/>
        </w:rPr>
      </w:pPr>
      <w:r w:rsidRPr="000C2BE9">
        <w:rPr>
          <w:rFonts w:ascii="Arial" w:eastAsia="Times New Roman" w:hAnsi="Arial" w:cs="Arial"/>
          <w:sz w:val="18"/>
          <w:szCs w:val="18"/>
          <w:lang w:val="en-US" w:eastAsia="pt-BR"/>
        </w:rPr>
        <w:t xml:space="preserve">Keywords: </w:t>
      </w:r>
      <w:r w:rsidRPr="000C2BE9">
        <w:rPr>
          <w:rFonts w:ascii="Arial" w:eastAsia="Times New Roman" w:hAnsi="Arial" w:cs="Arial"/>
          <w:i/>
          <w:iCs/>
          <w:sz w:val="18"/>
          <w:szCs w:val="18"/>
          <w:lang w:val="en-US" w:eastAsia="pt-BR"/>
        </w:rPr>
        <w:t xml:space="preserve">NSAIDs; L-NAME; </w:t>
      </w:r>
      <w:r>
        <w:rPr>
          <w:rFonts w:ascii="Arial" w:eastAsia="Times New Roman" w:hAnsi="Arial" w:cs="Arial"/>
          <w:i/>
          <w:iCs/>
          <w:sz w:val="18"/>
          <w:szCs w:val="18"/>
          <w:lang w:val="en-US" w:eastAsia="pt-BR"/>
        </w:rPr>
        <w:t>I</w:t>
      </w:r>
      <w:r w:rsidRPr="000C2BE9">
        <w:rPr>
          <w:rFonts w:ascii="Arial" w:eastAsia="Times New Roman" w:hAnsi="Arial" w:cs="Arial"/>
          <w:i/>
          <w:iCs/>
          <w:sz w:val="18"/>
          <w:szCs w:val="18"/>
          <w:lang w:val="en-US" w:eastAsia="pt-BR"/>
        </w:rPr>
        <w:t>ndomethacin; AKI;</w:t>
      </w:r>
      <w:r>
        <w:rPr>
          <w:rFonts w:ascii="Arial" w:eastAsia="Times New Roman" w:hAnsi="Arial" w:cs="Arial"/>
          <w:i/>
          <w:iCs/>
          <w:sz w:val="18"/>
          <w:szCs w:val="18"/>
          <w:lang w:val="en-US" w:eastAsia="pt-BR"/>
        </w:rPr>
        <w:t xml:space="preserve"> C</w:t>
      </w:r>
      <w:r w:rsidRPr="000C2BE9">
        <w:rPr>
          <w:rFonts w:ascii="Arial" w:eastAsia="Times New Roman" w:hAnsi="Arial" w:cs="Arial"/>
          <w:i/>
          <w:iCs/>
          <w:sz w:val="18"/>
          <w:szCs w:val="18"/>
          <w:lang w:val="en-US" w:eastAsia="pt-BR"/>
        </w:rPr>
        <w:t xml:space="preserve">yclooxygenase; </w:t>
      </w:r>
      <w:r>
        <w:rPr>
          <w:rFonts w:ascii="Arial" w:eastAsia="Times New Roman" w:hAnsi="Arial" w:cs="Arial"/>
          <w:i/>
          <w:iCs/>
          <w:sz w:val="18"/>
          <w:szCs w:val="18"/>
          <w:lang w:val="en-US" w:eastAsia="pt-BR"/>
        </w:rPr>
        <w:t>N</w:t>
      </w:r>
      <w:r w:rsidRPr="000C2BE9">
        <w:rPr>
          <w:rFonts w:ascii="Arial" w:eastAsia="Times New Roman" w:hAnsi="Arial" w:cs="Arial"/>
          <w:i/>
          <w:iCs/>
          <w:sz w:val="18"/>
          <w:szCs w:val="18"/>
          <w:lang w:val="en-US" w:eastAsia="pt-BR"/>
        </w:rPr>
        <w:t xml:space="preserve">ephropathy; </w:t>
      </w:r>
      <w:r>
        <w:rPr>
          <w:rFonts w:ascii="Arial" w:eastAsia="Times New Roman" w:hAnsi="Arial" w:cs="Arial"/>
          <w:i/>
          <w:iCs/>
          <w:sz w:val="18"/>
          <w:szCs w:val="18"/>
          <w:lang w:val="en-US" w:eastAsia="pt-BR"/>
        </w:rPr>
        <w:t>E</w:t>
      </w:r>
      <w:r w:rsidRPr="000C2BE9">
        <w:rPr>
          <w:rFonts w:ascii="Arial" w:eastAsia="Times New Roman" w:hAnsi="Arial" w:cs="Arial"/>
          <w:i/>
          <w:iCs/>
          <w:sz w:val="18"/>
          <w:szCs w:val="18"/>
          <w:lang w:val="en-US" w:eastAsia="pt-BR"/>
        </w:rPr>
        <w:t>xperimental model.</w:t>
      </w:r>
    </w:p>
    <w:p w14:paraId="6AAE2A3E" w14:textId="18CBAF9A" w:rsidR="000C2BE9" w:rsidRPr="000C2BE9" w:rsidRDefault="006835D3" w:rsidP="000C2BE9">
      <w:pPr>
        <w:spacing w:before="100" w:beforeAutospacing="1" w:after="100" w:afterAutospacing="1" w:line="240" w:lineRule="auto"/>
        <w:jc w:val="both"/>
        <w:rPr>
          <w:rFonts w:ascii="Arial" w:eastAsia="Times New Roman" w:hAnsi="Arial" w:cs="Arial"/>
          <w:sz w:val="20"/>
          <w:szCs w:val="20"/>
          <w:lang w:val="en-US" w:eastAsia="pt-BR"/>
        </w:rPr>
      </w:pPr>
      <w:r w:rsidRPr="008D64CA">
        <w:rPr>
          <w:rFonts w:ascii="Arial" w:eastAsia="Times New Roman" w:hAnsi="Arial" w:cs="Arial"/>
          <w:sz w:val="20"/>
          <w:szCs w:val="20"/>
          <w:lang w:val="en-US" w:eastAsia="pt-BR"/>
        </w:rPr>
        <w:t xml:space="preserve">Acknowledgment: </w:t>
      </w:r>
      <w:r w:rsidR="000C2BE9" w:rsidRPr="000C2BE9">
        <w:rPr>
          <w:rFonts w:ascii="Arial" w:eastAsia="Times New Roman" w:hAnsi="Arial" w:cs="Arial"/>
          <w:sz w:val="20"/>
          <w:szCs w:val="20"/>
          <w:lang w:val="en-US" w:eastAsia="pt-BR"/>
        </w:rPr>
        <w:t>UVV, PPGCF-UVV, FAPES.</w:t>
      </w:r>
    </w:p>
    <w:p w14:paraId="5681095F" w14:textId="77777777" w:rsidR="000C2BE9" w:rsidRPr="009E6ED0" w:rsidRDefault="000C2BE9" w:rsidP="009E6ED0">
      <w:pPr>
        <w:spacing w:before="100" w:beforeAutospacing="1" w:after="100" w:afterAutospacing="1" w:line="240" w:lineRule="auto"/>
        <w:jc w:val="both"/>
        <w:rPr>
          <w:rFonts w:ascii="Arial" w:eastAsia="Times New Roman" w:hAnsi="Arial" w:cs="Arial"/>
          <w:sz w:val="20"/>
          <w:szCs w:val="20"/>
          <w:lang w:val="en-US" w:eastAsia="pt-BR"/>
        </w:rPr>
      </w:pPr>
    </w:p>
    <w:p w14:paraId="158B93B4" w14:textId="1FFFE9BB" w:rsidR="00AE548A" w:rsidRPr="006835D3" w:rsidRDefault="00AE548A" w:rsidP="009E6ED0">
      <w:pPr>
        <w:jc w:val="both"/>
        <w:rPr>
          <w:rFonts w:ascii="Arial" w:hAnsi="Arial" w:cs="Arial"/>
          <w:sz w:val="20"/>
          <w:szCs w:val="20"/>
          <w:lang w:val="en-US"/>
        </w:rPr>
      </w:pPr>
    </w:p>
    <w:p w14:paraId="08AB69EF" w14:textId="77777777" w:rsidR="000C2BE9" w:rsidRPr="006835D3" w:rsidRDefault="000C2BE9" w:rsidP="009E6ED0">
      <w:pPr>
        <w:jc w:val="both"/>
        <w:rPr>
          <w:rFonts w:ascii="Arial" w:hAnsi="Arial" w:cs="Arial"/>
          <w:sz w:val="20"/>
          <w:szCs w:val="20"/>
          <w:lang w:val="en-US"/>
        </w:rPr>
      </w:pPr>
    </w:p>
    <w:p w14:paraId="634ACB0C" w14:textId="77777777" w:rsidR="000C2BE9" w:rsidRPr="006835D3" w:rsidRDefault="000C2BE9" w:rsidP="009E6ED0">
      <w:pPr>
        <w:jc w:val="both"/>
        <w:rPr>
          <w:rFonts w:ascii="Arial" w:hAnsi="Arial" w:cs="Arial"/>
          <w:sz w:val="20"/>
          <w:szCs w:val="20"/>
          <w:lang w:val="en-US"/>
        </w:rPr>
      </w:pPr>
    </w:p>
    <w:p w14:paraId="3EEB03F7" w14:textId="77777777" w:rsidR="000C2BE9" w:rsidRPr="006835D3" w:rsidRDefault="000C2BE9" w:rsidP="009E6ED0">
      <w:pPr>
        <w:jc w:val="both"/>
        <w:rPr>
          <w:rFonts w:ascii="Arial" w:hAnsi="Arial" w:cs="Arial"/>
          <w:sz w:val="20"/>
          <w:szCs w:val="20"/>
          <w:lang w:val="en-US"/>
        </w:rPr>
      </w:pPr>
    </w:p>
    <w:p w14:paraId="0987E2AB" w14:textId="77777777" w:rsidR="000C2BE9" w:rsidRPr="006835D3" w:rsidRDefault="000C2BE9" w:rsidP="009E6ED0">
      <w:pPr>
        <w:jc w:val="both"/>
        <w:rPr>
          <w:rFonts w:ascii="Arial" w:hAnsi="Arial" w:cs="Arial"/>
          <w:sz w:val="20"/>
          <w:szCs w:val="20"/>
          <w:lang w:val="en-US"/>
        </w:rPr>
      </w:pPr>
    </w:p>
    <w:p w14:paraId="15DDA1E2" w14:textId="77777777" w:rsidR="000C2BE9" w:rsidRPr="006835D3" w:rsidRDefault="000C2BE9" w:rsidP="009E6ED0">
      <w:pPr>
        <w:jc w:val="both"/>
        <w:rPr>
          <w:rFonts w:ascii="Arial" w:hAnsi="Arial" w:cs="Arial"/>
          <w:sz w:val="20"/>
          <w:szCs w:val="20"/>
          <w:lang w:val="en-US"/>
        </w:rPr>
      </w:pPr>
    </w:p>
    <w:p w14:paraId="50C71AAB" w14:textId="77777777" w:rsidR="000C2BE9" w:rsidRPr="006835D3" w:rsidRDefault="000C2BE9" w:rsidP="009E6ED0">
      <w:pPr>
        <w:jc w:val="both"/>
        <w:rPr>
          <w:rFonts w:ascii="Arial" w:hAnsi="Arial" w:cs="Arial"/>
          <w:sz w:val="20"/>
          <w:szCs w:val="20"/>
          <w:lang w:val="en-US"/>
        </w:rPr>
      </w:pPr>
    </w:p>
    <w:p w14:paraId="7D3CDE55" w14:textId="77777777" w:rsidR="000C2BE9" w:rsidRPr="006835D3" w:rsidRDefault="000C2BE9" w:rsidP="009E6ED0">
      <w:pPr>
        <w:jc w:val="both"/>
        <w:rPr>
          <w:rFonts w:ascii="Arial" w:hAnsi="Arial" w:cs="Arial"/>
          <w:sz w:val="20"/>
          <w:szCs w:val="20"/>
          <w:lang w:val="en-US"/>
        </w:rPr>
      </w:pPr>
    </w:p>
    <w:p w14:paraId="296A9952" w14:textId="77777777" w:rsidR="000C2BE9" w:rsidRPr="006835D3" w:rsidRDefault="000C2BE9" w:rsidP="009E6ED0">
      <w:pPr>
        <w:jc w:val="both"/>
        <w:rPr>
          <w:rFonts w:ascii="Arial" w:hAnsi="Arial" w:cs="Arial"/>
          <w:sz w:val="20"/>
          <w:szCs w:val="20"/>
          <w:lang w:val="en-US"/>
        </w:rPr>
      </w:pPr>
    </w:p>
    <w:p w14:paraId="6DB8E3E7" w14:textId="77777777" w:rsidR="000C2BE9" w:rsidRPr="006835D3" w:rsidRDefault="000C2BE9" w:rsidP="009E6ED0">
      <w:pPr>
        <w:jc w:val="both"/>
        <w:rPr>
          <w:rFonts w:ascii="Arial" w:hAnsi="Arial" w:cs="Arial"/>
          <w:sz w:val="20"/>
          <w:szCs w:val="20"/>
          <w:lang w:val="en-US"/>
        </w:rPr>
      </w:pPr>
    </w:p>
    <w:p w14:paraId="1227CEC6" w14:textId="1BE0E578" w:rsidR="000C2BE9" w:rsidRPr="006D211D" w:rsidRDefault="000C2BE9" w:rsidP="006D211D">
      <w:pPr>
        <w:pStyle w:val="Ttulo1"/>
        <w:rPr>
          <w:rFonts w:ascii="Arial" w:eastAsia="Times New Roman" w:hAnsi="Arial" w:cs="Arial"/>
          <w:b/>
          <w:bCs/>
          <w:color w:val="auto"/>
          <w:sz w:val="28"/>
          <w:szCs w:val="28"/>
          <w:lang w:val="en-US" w:eastAsia="pt-BR"/>
        </w:rPr>
      </w:pPr>
      <w:bookmarkStart w:id="13" w:name="_Toc211954570"/>
      <w:r w:rsidRPr="006D211D">
        <w:rPr>
          <w:rFonts w:ascii="Arial" w:eastAsia="Times New Roman" w:hAnsi="Arial" w:cs="Arial"/>
          <w:b/>
          <w:bCs/>
          <w:color w:val="auto"/>
          <w:sz w:val="28"/>
          <w:szCs w:val="28"/>
          <w:lang w:val="en-US" w:eastAsia="pt-BR"/>
        </w:rPr>
        <w:lastRenderedPageBreak/>
        <w:t xml:space="preserve">Protective </w:t>
      </w:r>
      <w:r w:rsidR="006028C1" w:rsidRPr="006D211D">
        <w:rPr>
          <w:rFonts w:ascii="Arial" w:eastAsia="Times New Roman" w:hAnsi="Arial" w:cs="Arial"/>
          <w:b/>
          <w:bCs/>
          <w:color w:val="auto"/>
          <w:sz w:val="28"/>
          <w:szCs w:val="28"/>
          <w:lang w:val="en-US" w:eastAsia="pt-BR"/>
        </w:rPr>
        <w:t xml:space="preserve">Effects </w:t>
      </w:r>
      <w:r w:rsidR="006251EA" w:rsidRPr="006D211D">
        <w:rPr>
          <w:rFonts w:ascii="Arial" w:eastAsia="Times New Roman" w:hAnsi="Arial" w:cs="Arial"/>
          <w:b/>
          <w:bCs/>
          <w:color w:val="auto"/>
          <w:sz w:val="28"/>
          <w:szCs w:val="28"/>
          <w:lang w:val="en-US" w:eastAsia="pt-BR"/>
        </w:rPr>
        <w:t>o</w:t>
      </w:r>
      <w:r w:rsidR="006028C1" w:rsidRPr="006D211D">
        <w:rPr>
          <w:rFonts w:ascii="Arial" w:eastAsia="Times New Roman" w:hAnsi="Arial" w:cs="Arial"/>
          <w:b/>
          <w:bCs/>
          <w:color w:val="auto"/>
          <w:sz w:val="28"/>
          <w:szCs w:val="28"/>
          <w:lang w:val="en-US" w:eastAsia="pt-BR"/>
        </w:rPr>
        <w:t xml:space="preserve">f Milk Kefir on </w:t>
      </w:r>
      <w:r w:rsidRPr="006D211D">
        <w:rPr>
          <w:rFonts w:ascii="Arial" w:eastAsia="Times New Roman" w:hAnsi="Arial" w:cs="Arial"/>
          <w:b/>
          <w:bCs/>
          <w:color w:val="auto"/>
          <w:sz w:val="28"/>
          <w:szCs w:val="28"/>
          <w:lang w:val="en-US" w:eastAsia="pt-BR"/>
        </w:rPr>
        <w:t>TNBS</w:t>
      </w:r>
      <w:r w:rsidR="006028C1" w:rsidRPr="006D211D">
        <w:rPr>
          <w:rFonts w:ascii="Arial" w:eastAsia="Times New Roman" w:hAnsi="Arial" w:cs="Arial"/>
          <w:b/>
          <w:bCs/>
          <w:color w:val="auto"/>
          <w:sz w:val="28"/>
          <w:szCs w:val="28"/>
          <w:lang w:val="en-US" w:eastAsia="pt-BR"/>
        </w:rPr>
        <w:t>-Induced Experimental Ulcerative Colitis in Mice</w:t>
      </w:r>
      <w:bookmarkEnd w:id="13"/>
    </w:p>
    <w:p w14:paraId="1C344D89" w14:textId="3F27E407"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eastAsia="pt-BR"/>
        </w:rPr>
      </w:pPr>
      <w:r w:rsidRPr="000C2BE9">
        <w:rPr>
          <w:rFonts w:ascii="Arial" w:eastAsia="Times New Roman" w:hAnsi="Arial" w:cs="Arial"/>
          <w:b/>
          <w:bCs/>
          <w:sz w:val="20"/>
          <w:szCs w:val="20"/>
          <w:lang w:eastAsia="pt-BR"/>
        </w:rPr>
        <w:t>Rafaela Aires¹; Homero Gava Valani¹; Laura Campos Patez¹; Amanda Christina Gonçalves do Carmo Gouveia¹</w:t>
      </w:r>
      <w:r>
        <w:rPr>
          <w:rFonts w:ascii="Arial" w:eastAsia="Times New Roman" w:hAnsi="Arial" w:cs="Arial"/>
          <w:b/>
          <w:bCs/>
          <w:sz w:val="20"/>
          <w:szCs w:val="20"/>
          <w:lang w:eastAsia="pt-BR"/>
        </w:rPr>
        <w:t>*</w:t>
      </w:r>
      <w:r w:rsidRPr="000C2BE9">
        <w:rPr>
          <w:rFonts w:ascii="Arial" w:eastAsia="Times New Roman" w:hAnsi="Arial" w:cs="Arial"/>
          <w:b/>
          <w:bCs/>
          <w:sz w:val="20"/>
          <w:szCs w:val="20"/>
          <w:lang w:eastAsia="pt-BR"/>
        </w:rPr>
        <w:t xml:space="preserve">; Larissa </w:t>
      </w:r>
      <w:proofErr w:type="spellStart"/>
      <w:r w:rsidRPr="000C2BE9">
        <w:rPr>
          <w:rFonts w:ascii="Arial" w:eastAsia="Times New Roman" w:hAnsi="Arial" w:cs="Arial"/>
          <w:b/>
          <w:bCs/>
          <w:sz w:val="20"/>
          <w:szCs w:val="20"/>
          <w:lang w:eastAsia="pt-BR"/>
        </w:rPr>
        <w:t>Zambom</w:t>
      </w:r>
      <w:proofErr w:type="spellEnd"/>
      <w:r w:rsidRPr="000C2BE9">
        <w:rPr>
          <w:rFonts w:ascii="Arial" w:eastAsia="Times New Roman" w:hAnsi="Arial" w:cs="Arial"/>
          <w:b/>
          <w:bCs/>
          <w:sz w:val="20"/>
          <w:szCs w:val="20"/>
          <w:lang w:eastAsia="pt-BR"/>
        </w:rPr>
        <w:t xml:space="preserve"> Côco²; Bianca Prandi Campagnaro¹</w:t>
      </w:r>
      <w:r>
        <w:rPr>
          <w:rFonts w:ascii="Arial" w:eastAsia="Times New Roman" w:hAnsi="Arial" w:cs="Arial"/>
          <w:b/>
          <w:bCs/>
          <w:sz w:val="20"/>
          <w:szCs w:val="20"/>
          <w:lang w:eastAsia="pt-BR"/>
        </w:rPr>
        <w:t>.</w:t>
      </w:r>
    </w:p>
    <w:p w14:paraId="1B697453" w14:textId="4EB58E73"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Pr="000C2BE9">
        <w:rPr>
          <w:rFonts w:ascii="Arial" w:eastAsia="Times New Roman" w:hAnsi="Arial" w:cs="Arial"/>
          <w:i/>
          <w:iCs/>
          <w:sz w:val="20"/>
          <w:szCs w:val="20"/>
          <w:lang w:eastAsia="pt-BR"/>
        </w:rPr>
        <w:t>amanda.cgcarmo@yahoo.com.br</w:t>
      </w:r>
    </w:p>
    <w:p w14:paraId="37A067EC" w14:textId="77777777" w:rsidR="000C2BE9" w:rsidRPr="000C2BE9" w:rsidRDefault="000C2BE9" w:rsidP="000C2BE9">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¹Universidade de Vila Velha (UVV), Vila Velha, ES, Brasil;</w:t>
      </w:r>
    </w:p>
    <w:p w14:paraId="1639EE2A" w14:textId="644594DC" w:rsidR="000C2BE9" w:rsidRPr="000C2BE9" w:rsidRDefault="000C2BE9" w:rsidP="000C2BE9">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²Instituto Federal do Espírito Santo (IFES), Vila Velha, ES, Brasil.</w:t>
      </w:r>
    </w:p>
    <w:p w14:paraId="50DEDBCA" w14:textId="77777777" w:rsidR="000C2BE9" w:rsidRPr="000C2BE9" w:rsidRDefault="000C2BE9" w:rsidP="000C2BE9">
      <w:pPr>
        <w:spacing w:after="0" w:line="240" w:lineRule="auto"/>
        <w:jc w:val="both"/>
        <w:rPr>
          <w:rFonts w:ascii="Arial" w:eastAsia="Times New Roman" w:hAnsi="Arial" w:cs="Arial"/>
          <w:sz w:val="18"/>
          <w:szCs w:val="18"/>
          <w:lang w:eastAsia="pt-BR"/>
        </w:rPr>
      </w:pPr>
    </w:p>
    <w:p w14:paraId="34F2770F" w14:textId="77777777" w:rsidR="000C2BE9" w:rsidRDefault="000C2BE9" w:rsidP="000C2BE9">
      <w:pPr>
        <w:spacing w:after="0" w:line="240" w:lineRule="auto"/>
        <w:jc w:val="both"/>
        <w:rPr>
          <w:rFonts w:ascii="Arial" w:eastAsia="Times New Roman" w:hAnsi="Arial" w:cs="Arial"/>
          <w:sz w:val="18"/>
          <w:szCs w:val="18"/>
          <w:lang w:val="en-US" w:eastAsia="pt-BR"/>
        </w:rPr>
      </w:pPr>
      <w:r w:rsidRPr="00C26F74">
        <w:rPr>
          <w:rFonts w:ascii="Arial" w:eastAsia="Times New Roman" w:hAnsi="Arial" w:cs="Arial"/>
          <w:b/>
          <w:bCs/>
          <w:sz w:val="18"/>
          <w:szCs w:val="18"/>
          <w:lang w:val="en-US" w:eastAsia="pt-BR"/>
        </w:rPr>
        <w:t>Thematic Session:</w:t>
      </w:r>
      <w:r w:rsidRPr="00C26F74">
        <w:rPr>
          <w:rFonts w:ascii="Arial" w:eastAsia="Times New Roman" w:hAnsi="Arial" w:cs="Arial"/>
          <w:sz w:val="18"/>
          <w:szCs w:val="18"/>
          <w:lang w:val="en-US" w:eastAsia="pt-BR"/>
        </w:rPr>
        <w:t xml:space="preserve"> Pathophysiology and Triggering Factors of Human and Animal Diseases.</w:t>
      </w:r>
    </w:p>
    <w:p w14:paraId="07541149" w14:textId="77777777" w:rsidR="000C2BE9" w:rsidRDefault="000C2BE9" w:rsidP="000C2BE9">
      <w:pPr>
        <w:spacing w:after="0" w:line="240" w:lineRule="auto"/>
        <w:jc w:val="both"/>
        <w:rPr>
          <w:rFonts w:ascii="Arial" w:eastAsia="Times New Roman" w:hAnsi="Arial" w:cs="Arial"/>
          <w:sz w:val="18"/>
          <w:szCs w:val="18"/>
          <w:lang w:val="en-US" w:eastAsia="pt-BR"/>
        </w:rPr>
      </w:pPr>
    </w:p>
    <w:p w14:paraId="0F41598B" w14:textId="7863B775" w:rsidR="000C2BE9" w:rsidRDefault="000C2BE9" w:rsidP="000C2BE9">
      <w:pPr>
        <w:spacing w:after="0" w:line="240" w:lineRule="auto"/>
        <w:jc w:val="both"/>
        <w:rPr>
          <w:rFonts w:ascii="Arial" w:eastAsia="Times New Roman" w:hAnsi="Arial" w:cs="Arial"/>
          <w:sz w:val="18"/>
          <w:szCs w:val="18"/>
          <w:lang w:val="en-US" w:eastAsia="pt-BR"/>
        </w:rPr>
      </w:pPr>
      <w:r w:rsidRPr="000C2BE9">
        <w:rPr>
          <w:rFonts w:ascii="Arial" w:eastAsia="Times New Roman" w:hAnsi="Arial" w:cs="Arial"/>
          <w:b/>
          <w:bCs/>
          <w:sz w:val="20"/>
          <w:szCs w:val="20"/>
          <w:lang w:val="en-US" w:eastAsia="pt-BR"/>
        </w:rPr>
        <w:t>INTRODUCTION:</w:t>
      </w:r>
      <w:r w:rsidRPr="000C2BE9">
        <w:rPr>
          <w:rFonts w:ascii="Arial" w:eastAsia="Times New Roman" w:hAnsi="Arial" w:cs="Arial"/>
          <w:sz w:val="20"/>
          <w:szCs w:val="20"/>
          <w:lang w:val="en-US" w:eastAsia="pt-BR"/>
        </w:rPr>
        <w:t xml:space="preserve"> Ulcerative colitis is a chronic inflammatory bowel disease that affects the mucosa of the colon and rectum, characterized by abdominal pain, diarrhea with or without bleeding, and weight loss, substantially impacting quality of life. Although conventional therapies such as corticosteroids, anti-inflammatory drugs, and immunosuppressants are effective, their adverse effects limit long-term use and justify the search for alternative treatments that minimize such limitations. In this context, milk kefir has emerged as a promising candidate due to its potential to modulate the gut microbiota, regulate immune responses, and preserve intestinal integrity. </w:t>
      </w:r>
      <w:r w:rsidRPr="000C2BE9">
        <w:rPr>
          <w:rFonts w:ascii="Arial" w:eastAsia="Times New Roman" w:hAnsi="Arial" w:cs="Arial"/>
          <w:b/>
          <w:bCs/>
          <w:sz w:val="20"/>
          <w:szCs w:val="20"/>
          <w:lang w:val="en-US" w:eastAsia="pt-BR"/>
        </w:rPr>
        <w:t>OBJECTIVE:</w:t>
      </w:r>
      <w:r w:rsidRPr="000C2BE9">
        <w:rPr>
          <w:rFonts w:ascii="Arial" w:eastAsia="Times New Roman" w:hAnsi="Arial" w:cs="Arial"/>
          <w:sz w:val="20"/>
          <w:szCs w:val="20"/>
          <w:lang w:val="en-US" w:eastAsia="pt-BR"/>
        </w:rPr>
        <w:t xml:space="preserve"> To evaluate the protective effect of milk kefir in an experimental model of TNBS-induced ulcerative colitis. </w:t>
      </w:r>
      <w:r w:rsidRPr="000C2BE9">
        <w:rPr>
          <w:rFonts w:ascii="Arial" w:eastAsia="Times New Roman" w:hAnsi="Arial" w:cs="Arial"/>
          <w:b/>
          <w:bCs/>
          <w:sz w:val="20"/>
          <w:szCs w:val="20"/>
          <w:lang w:val="en-US" w:eastAsia="pt-BR"/>
        </w:rPr>
        <w:t>METHODOLOGY:</w:t>
      </w:r>
      <w:r w:rsidRPr="000C2BE9">
        <w:rPr>
          <w:rFonts w:ascii="Arial" w:eastAsia="Times New Roman" w:hAnsi="Arial" w:cs="Arial"/>
          <w:sz w:val="20"/>
          <w:szCs w:val="20"/>
          <w:lang w:val="en-US" w:eastAsia="pt-BR"/>
        </w:rPr>
        <w:t xml:space="preserve"> Male </w:t>
      </w:r>
      <w:proofErr w:type="spellStart"/>
      <w:r w:rsidRPr="000C2BE9">
        <w:rPr>
          <w:rFonts w:ascii="Arial" w:eastAsia="Times New Roman" w:hAnsi="Arial" w:cs="Arial"/>
          <w:sz w:val="20"/>
          <w:szCs w:val="20"/>
          <w:lang w:val="en-US" w:eastAsia="pt-BR"/>
        </w:rPr>
        <w:t>Balb</w:t>
      </w:r>
      <w:proofErr w:type="spellEnd"/>
      <w:r w:rsidRPr="000C2BE9">
        <w:rPr>
          <w:rFonts w:ascii="Arial" w:eastAsia="Times New Roman" w:hAnsi="Arial" w:cs="Arial"/>
          <w:sz w:val="20"/>
          <w:szCs w:val="20"/>
          <w:lang w:val="en-US" w:eastAsia="pt-BR"/>
        </w:rPr>
        <w:t xml:space="preserve">/c mice (~22 g) were used in this study. Ulcerative colitis was induced by rectal administration of 1 mg of TNBS dissolved in 50% ethanol (v/v), except in the control group. Animals were then randomly assigned to three groups (n = 6): Control, TNBS, and TNBS + Kefir. Treatments were initiated one day after colitis induction and continued for five consecutive days. Body weight, stool consistency, and general behavior were recorded daily. On day 6, the animals were euthanized, and both the small and large intestines were collected for evaluation of intestinal transit and colon length. Data were analyzed using ANOVA followed by Tukey’s test, with significance set at p&lt;0.05. The study was approved by the Ethics Committee of </w:t>
      </w:r>
      <w:proofErr w:type="spellStart"/>
      <w:r w:rsidRPr="000C2BE9">
        <w:rPr>
          <w:rFonts w:ascii="Arial" w:eastAsia="Times New Roman" w:hAnsi="Arial" w:cs="Arial"/>
          <w:sz w:val="20"/>
          <w:szCs w:val="20"/>
          <w:lang w:val="en-US" w:eastAsia="pt-BR"/>
        </w:rPr>
        <w:t>Universidade</w:t>
      </w:r>
      <w:proofErr w:type="spellEnd"/>
      <w:r w:rsidRPr="000C2BE9">
        <w:rPr>
          <w:rFonts w:ascii="Arial" w:eastAsia="Times New Roman" w:hAnsi="Arial" w:cs="Arial"/>
          <w:sz w:val="20"/>
          <w:szCs w:val="20"/>
          <w:lang w:val="en-US" w:eastAsia="pt-BR"/>
        </w:rPr>
        <w:t xml:space="preserve"> Vila </w:t>
      </w:r>
      <w:proofErr w:type="spellStart"/>
      <w:r w:rsidRPr="000C2BE9">
        <w:rPr>
          <w:rFonts w:ascii="Arial" w:eastAsia="Times New Roman" w:hAnsi="Arial" w:cs="Arial"/>
          <w:sz w:val="20"/>
          <w:szCs w:val="20"/>
          <w:lang w:val="en-US" w:eastAsia="pt-BR"/>
        </w:rPr>
        <w:t>Velha</w:t>
      </w:r>
      <w:proofErr w:type="spellEnd"/>
      <w:r w:rsidRPr="000C2BE9">
        <w:rPr>
          <w:rFonts w:ascii="Arial" w:eastAsia="Times New Roman" w:hAnsi="Arial" w:cs="Arial"/>
          <w:sz w:val="20"/>
          <w:szCs w:val="20"/>
          <w:lang w:val="en-US" w:eastAsia="pt-BR"/>
        </w:rPr>
        <w:t xml:space="preserve"> (No. 606-2021). </w:t>
      </w:r>
      <w:r w:rsidRPr="000C2BE9">
        <w:rPr>
          <w:rFonts w:ascii="Arial" w:eastAsia="Times New Roman" w:hAnsi="Arial" w:cs="Arial"/>
          <w:b/>
          <w:bCs/>
          <w:sz w:val="20"/>
          <w:szCs w:val="20"/>
          <w:lang w:val="en-US" w:eastAsia="pt-BR"/>
        </w:rPr>
        <w:t>RESULTS AND DISCUSSION:</w:t>
      </w:r>
      <w:r w:rsidRPr="000C2BE9">
        <w:rPr>
          <w:rFonts w:ascii="Arial" w:eastAsia="Times New Roman" w:hAnsi="Arial" w:cs="Arial"/>
          <w:sz w:val="20"/>
          <w:szCs w:val="20"/>
          <w:lang w:val="en-US" w:eastAsia="pt-BR"/>
        </w:rPr>
        <w:t xml:space="preserve"> During treatment, animals in both TNBS and TNBS + Kefir groups showed weight loss compared with the Control group. However, treatment with kefir (10⁷ CFU of bacteria) for five days significantly improved disease severity, as evidenced by a reduction in the disease activity index (DAI) compared with the colitis group (29.8 ± 0.9 vs. 19.1 ± 3.0). Regarding colon length, kefir administration prevented the shortening observed in vehicle-treated colitis animals (7.0 ± 0.3 vs. 9.2 ± 0.5 cm), a characteristic parameter of the disease. Moreover, colitis increased total intestinal transit, which was significantly reduced following kefir treatment (40.7 ± 2.4 vs. 32.1 ± 0.8%). These findings corroborate previous studies demonstrating that probiotics can alleviate symptoms and promote remission in inflammatory bowel disease. </w:t>
      </w:r>
      <w:r w:rsidRPr="000C2BE9">
        <w:rPr>
          <w:rFonts w:ascii="Arial" w:eastAsia="Times New Roman" w:hAnsi="Arial" w:cs="Arial"/>
          <w:b/>
          <w:bCs/>
          <w:sz w:val="20"/>
          <w:szCs w:val="20"/>
          <w:lang w:val="en-US" w:eastAsia="pt-BR"/>
        </w:rPr>
        <w:t>CONCLUSIONS:</w:t>
      </w:r>
      <w:r w:rsidRPr="000C2BE9">
        <w:rPr>
          <w:rFonts w:ascii="Arial" w:eastAsia="Times New Roman" w:hAnsi="Arial" w:cs="Arial"/>
          <w:sz w:val="20"/>
          <w:szCs w:val="20"/>
          <w:lang w:val="en-US" w:eastAsia="pt-BR"/>
        </w:rPr>
        <w:t xml:space="preserve"> Milk kefir demonstrated an </w:t>
      </w:r>
      <w:proofErr w:type="spellStart"/>
      <w:r w:rsidRPr="000C2BE9">
        <w:rPr>
          <w:rFonts w:ascii="Arial" w:eastAsia="Times New Roman" w:hAnsi="Arial" w:cs="Arial"/>
          <w:sz w:val="20"/>
          <w:szCs w:val="20"/>
          <w:lang w:val="en-US" w:eastAsia="pt-BR"/>
        </w:rPr>
        <w:t>enteroprotective</w:t>
      </w:r>
      <w:proofErr w:type="spellEnd"/>
      <w:r w:rsidRPr="000C2BE9">
        <w:rPr>
          <w:rFonts w:ascii="Arial" w:eastAsia="Times New Roman" w:hAnsi="Arial" w:cs="Arial"/>
          <w:sz w:val="20"/>
          <w:szCs w:val="20"/>
          <w:lang w:val="en-US" w:eastAsia="pt-BR"/>
        </w:rPr>
        <w:t xml:space="preserve"> effect in TNBS-induced experimental ulcerative colitis, as evidenced by clinical improvement and prevention of colon shortening. The underlying mechanisms of these effects remain under investigation.</w:t>
      </w:r>
    </w:p>
    <w:p w14:paraId="29201C29" w14:textId="77777777" w:rsidR="000C2BE9" w:rsidRPr="000C2BE9" w:rsidRDefault="000C2BE9" w:rsidP="000C2BE9">
      <w:pPr>
        <w:spacing w:after="0" w:line="240" w:lineRule="auto"/>
        <w:jc w:val="both"/>
        <w:rPr>
          <w:rFonts w:ascii="Arial" w:eastAsia="Times New Roman" w:hAnsi="Arial" w:cs="Arial"/>
          <w:sz w:val="18"/>
          <w:szCs w:val="18"/>
          <w:lang w:val="en-US" w:eastAsia="pt-BR"/>
        </w:rPr>
      </w:pPr>
    </w:p>
    <w:p w14:paraId="10A78B8C" w14:textId="404D236A" w:rsidR="000C2BE9" w:rsidRPr="000C2BE9" w:rsidRDefault="000C2BE9" w:rsidP="000C2BE9">
      <w:pPr>
        <w:spacing w:before="100" w:beforeAutospacing="1" w:after="100" w:afterAutospacing="1" w:line="240" w:lineRule="auto"/>
        <w:jc w:val="both"/>
        <w:rPr>
          <w:rFonts w:ascii="Arial" w:eastAsia="Times New Roman" w:hAnsi="Arial" w:cs="Arial"/>
          <w:sz w:val="20"/>
          <w:szCs w:val="20"/>
          <w:lang w:val="en-US" w:eastAsia="pt-BR"/>
        </w:rPr>
      </w:pPr>
      <w:r w:rsidRPr="000C2BE9">
        <w:rPr>
          <w:rFonts w:ascii="Arial" w:eastAsia="Times New Roman" w:hAnsi="Arial" w:cs="Arial"/>
          <w:sz w:val="20"/>
          <w:szCs w:val="20"/>
          <w:lang w:val="en-US" w:eastAsia="pt-BR"/>
        </w:rPr>
        <w:t xml:space="preserve">Keywords: </w:t>
      </w:r>
      <w:r w:rsidRPr="000C2BE9">
        <w:rPr>
          <w:rFonts w:ascii="Arial" w:eastAsia="Times New Roman" w:hAnsi="Arial" w:cs="Arial"/>
          <w:i/>
          <w:iCs/>
          <w:sz w:val="20"/>
          <w:szCs w:val="20"/>
          <w:lang w:val="en-US" w:eastAsia="pt-BR"/>
        </w:rPr>
        <w:t xml:space="preserve">Inflammatory </w:t>
      </w:r>
      <w:r>
        <w:rPr>
          <w:rFonts w:ascii="Arial" w:eastAsia="Times New Roman" w:hAnsi="Arial" w:cs="Arial"/>
          <w:i/>
          <w:iCs/>
          <w:sz w:val="20"/>
          <w:szCs w:val="20"/>
          <w:lang w:val="en-US" w:eastAsia="pt-BR"/>
        </w:rPr>
        <w:t>b</w:t>
      </w:r>
      <w:r w:rsidRPr="000C2BE9">
        <w:rPr>
          <w:rFonts w:ascii="Arial" w:eastAsia="Times New Roman" w:hAnsi="Arial" w:cs="Arial"/>
          <w:i/>
          <w:iCs/>
          <w:sz w:val="20"/>
          <w:szCs w:val="20"/>
          <w:lang w:val="en-US" w:eastAsia="pt-BR"/>
        </w:rPr>
        <w:t xml:space="preserve">owel </w:t>
      </w:r>
      <w:r>
        <w:rPr>
          <w:rFonts w:ascii="Arial" w:eastAsia="Times New Roman" w:hAnsi="Arial" w:cs="Arial"/>
          <w:i/>
          <w:iCs/>
          <w:sz w:val="20"/>
          <w:szCs w:val="20"/>
          <w:lang w:val="en-US" w:eastAsia="pt-BR"/>
        </w:rPr>
        <w:t>d</w:t>
      </w:r>
      <w:r w:rsidRPr="000C2BE9">
        <w:rPr>
          <w:rFonts w:ascii="Arial" w:eastAsia="Times New Roman" w:hAnsi="Arial" w:cs="Arial"/>
          <w:i/>
          <w:iCs/>
          <w:sz w:val="20"/>
          <w:szCs w:val="20"/>
          <w:lang w:val="en-US" w:eastAsia="pt-BR"/>
        </w:rPr>
        <w:t xml:space="preserve">isease; Probiotics; Gut </w:t>
      </w:r>
      <w:r>
        <w:rPr>
          <w:rFonts w:ascii="Arial" w:eastAsia="Times New Roman" w:hAnsi="Arial" w:cs="Arial"/>
          <w:i/>
          <w:iCs/>
          <w:sz w:val="20"/>
          <w:szCs w:val="20"/>
          <w:lang w:val="en-US" w:eastAsia="pt-BR"/>
        </w:rPr>
        <w:t>m</w:t>
      </w:r>
      <w:r w:rsidRPr="000C2BE9">
        <w:rPr>
          <w:rFonts w:ascii="Arial" w:eastAsia="Times New Roman" w:hAnsi="Arial" w:cs="Arial"/>
          <w:i/>
          <w:iCs/>
          <w:sz w:val="20"/>
          <w:szCs w:val="20"/>
          <w:lang w:val="en-US" w:eastAsia="pt-BR"/>
        </w:rPr>
        <w:t xml:space="preserve">icrobiota; Disease </w:t>
      </w:r>
      <w:r>
        <w:rPr>
          <w:rFonts w:ascii="Arial" w:eastAsia="Times New Roman" w:hAnsi="Arial" w:cs="Arial"/>
          <w:i/>
          <w:iCs/>
          <w:sz w:val="20"/>
          <w:szCs w:val="20"/>
          <w:lang w:val="en-US" w:eastAsia="pt-BR"/>
        </w:rPr>
        <w:t>a</w:t>
      </w:r>
      <w:r w:rsidRPr="000C2BE9">
        <w:rPr>
          <w:rFonts w:ascii="Arial" w:eastAsia="Times New Roman" w:hAnsi="Arial" w:cs="Arial"/>
          <w:i/>
          <w:iCs/>
          <w:sz w:val="20"/>
          <w:szCs w:val="20"/>
          <w:lang w:val="en-US" w:eastAsia="pt-BR"/>
        </w:rPr>
        <w:t xml:space="preserve">ctivity </w:t>
      </w:r>
      <w:r>
        <w:rPr>
          <w:rFonts w:ascii="Arial" w:eastAsia="Times New Roman" w:hAnsi="Arial" w:cs="Arial"/>
          <w:i/>
          <w:iCs/>
          <w:sz w:val="20"/>
          <w:szCs w:val="20"/>
          <w:lang w:val="en-US" w:eastAsia="pt-BR"/>
        </w:rPr>
        <w:t>i</w:t>
      </w:r>
      <w:r w:rsidRPr="000C2BE9">
        <w:rPr>
          <w:rFonts w:ascii="Arial" w:eastAsia="Times New Roman" w:hAnsi="Arial" w:cs="Arial"/>
          <w:i/>
          <w:iCs/>
          <w:sz w:val="20"/>
          <w:szCs w:val="20"/>
          <w:lang w:val="en-US" w:eastAsia="pt-BR"/>
        </w:rPr>
        <w:t>ndex.</w:t>
      </w:r>
    </w:p>
    <w:p w14:paraId="06A12732" w14:textId="30B7280B" w:rsidR="000C2BE9" w:rsidRPr="000C2BE9" w:rsidRDefault="006835D3" w:rsidP="000C2BE9">
      <w:pPr>
        <w:spacing w:before="100" w:beforeAutospacing="1" w:after="100" w:afterAutospacing="1" w:line="240" w:lineRule="auto"/>
        <w:jc w:val="both"/>
        <w:rPr>
          <w:rFonts w:ascii="Arial" w:eastAsia="Times New Roman" w:hAnsi="Arial" w:cs="Arial"/>
          <w:sz w:val="20"/>
          <w:szCs w:val="20"/>
          <w:lang w:val="en-US" w:eastAsia="pt-BR"/>
        </w:rPr>
      </w:pPr>
      <w:r w:rsidRPr="008D64CA">
        <w:rPr>
          <w:rFonts w:ascii="Arial" w:eastAsia="Times New Roman" w:hAnsi="Arial" w:cs="Arial"/>
          <w:sz w:val="20"/>
          <w:szCs w:val="20"/>
          <w:lang w:val="en-US" w:eastAsia="pt-BR"/>
        </w:rPr>
        <w:t xml:space="preserve">Acknowledgment: </w:t>
      </w:r>
      <w:r w:rsidR="000C2BE9" w:rsidRPr="000C2BE9">
        <w:rPr>
          <w:rFonts w:ascii="Arial" w:eastAsia="Times New Roman" w:hAnsi="Arial" w:cs="Arial"/>
          <w:sz w:val="20"/>
          <w:szCs w:val="20"/>
          <w:lang w:val="en-US" w:eastAsia="pt-BR"/>
        </w:rPr>
        <w:t>UVV, PPGCF-UVV, FAPES.</w:t>
      </w:r>
    </w:p>
    <w:p w14:paraId="7227C566" w14:textId="77777777" w:rsidR="000C2BE9" w:rsidRPr="006835D3" w:rsidRDefault="000C2BE9" w:rsidP="009E6ED0">
      <w:pPr>
        <w:jc w:val="both"/>
        <w:rPr>
          <w:rFonts w:ascii="Arial" w:hAnsi="Arial" w:cs="Arial"/>
          <w:sz w:val="20"/>
          <w:szCs w:val="20"/>
          <w:lang w:val="en-US"/>
        </w:rPr>
      </w:pPr>
    </w:p>
    <w:p w14:paraId="41B7F316" w14:textId="77777777" w:rsidR="000C2BE9" w:rsidRPr="006835D3" w:rsidRDefault="000C2BE9" w:rsidP="009E6ED0">
      <w:pPr>
        <w:jc w:val="both"/>
        <w:rPr>
          <w:rFonts w:ascii="Arial" w:hAnsi="Arial" w:cs="Arial"/>
          <w:sz w:val="20"/>
          <w:szCs w:val="20"/>
          <w:lang w:val="en-US"/>
        </w:rPr>
      </w:pPr>
    </w:p>
    <w:p w14:paraId="0A209BC5" w14:textId="77777777" w:rsidR="000C2BE9" w:rsidRPr="006835D3" w:rsidRDefault="000C2BE9" w:rsidP="009E6ED0">
      <w:pPr>
        <w:jc w:val="both"/>
        <w:rPr>
          <w:rFonts w:ascii="Arial" w:hAnsi="Arial" w:cs="Arial"/>
          <w:sz w:val="20"/>
          <w:szCs w:val="20"/>
          <w:lang w:val="en-US"/>
        </w:rPr>
      </w:pPr>
    </w:p>
    <w:p w14:paraId="6A4B2F80" w14:textId="77777777" w:rsidR="000C2BE9" w:rsidRDefault="000C2BE9" w:rsidP="009E6ED0">
      <w:pPr>
        <w:jc w:val="both"/>
        <w:rPr>
          <w:rFonts w:ascii="Arial" w:hAnsi="Arial" w:cs="Arial"/>
          <w:sz w:val="20"/>
          <w:szCs w:val="20"/>
          <w:lang w:val="en-US"/>
        </w:rPr>
      </w:pPr>
    </w:p>
    <w:p w14:paraId="36AE5C2D" w14:textId="77777777" w:rsidR="001F0BAB" w:rsidRPr="006835D3" w:rsidRDefault="001F0BAB" w:rsidP="009E6ED0">
      <w:pPr>
        <w:jc w:val="both"/>
        <w:rPr>
          <w:rFonts w:ascii="Arial" w:hAnsi="Arial" w:cs="Arial"/>
          <w:sz w:val="20"/>
          <w:szCs w:val="20"/>
          <w:lang w:val="en-US"/>
        </w:rPr>
      </w:pPr>
    </w:p>
    <w:p w14:paraId="71DEA67E" w14:textId="77777777" w:rsidR="000C2BE9" w:rsidRPr="006835D3" w:rsidRDefault="000C2BE9" w:rsidP="009E6ED0">
      <w:pPr>
        <w:jc w:val="both"/>
        <w:rPr>
          <w:rFonts w:ascii="Arial" w:hAnsi="Arial" w:cs="Arial"/>
          <w:sz w:val="20"/>
          <w:szCs w:val="20"/>
          <w:lang w:val="en-US"/>
        </w:rPr>
      </w:pPr>
    </w:p>
    <w:p w14:paraId="53C9C04D" w14:textId="4BCCC015" w:rsidR="000C2BE9" w:rsidRPr="006D211D" w:rsidRDefault="000C2BE9" w:rsidP="006D211D">
      <w:pPr>
        <w:pStyle w:val="Ttulo1"/>
        <w:rPr>
          <w:rFonts w:ascii="Arial" w:eastAsia="Times New Roman" w:hAnsi="Arial" w:cs="Arial"/>
          <w:b/>
          <w:bCs/>
          <w:i/>
          <w:iCs/>
          <w:color w:val="auto"/>
          <w:sz w:val="28"/>
          <w:szCs w:val="28"/>
          <w:lang w:val="en-US" w:eastAsia="pt-BR"/>
        </w:rPr>
      </w:pPr>
      <w:bookmarkStart w:id="14" w:name="_Toc211954571"/>
      <w:r w:rsidRPr="006D211D">
        <w:rPr>
          <w:rFonts w:ascii="Arial" w:eastAsia="Times New Roman" w:hAnsi="Arial" w:cs="Arial"/>
          <w:b/>
          <w:bCs/>
          <w:color w:val="auto"/>
          <w:sz w:val="28"/>
          <w:szCs w:val="28"/>
          <w:lang w:val="en-US" w:eastAsia="pt-BR"/>
        </w:rPr>
        <w:lastRenderedPageBreak/>
        <w:t xml:space="preserve">Evaluation </w:t>
      </w:r>
      <w:r w:rsidR="006028C1" w:rsidRPr="006D211D">
        <w:rPr>
          <w:rFonts w:ascii="Arial" w:eastAsia="Times New Roman" w:hAnsi="Arial" w:cs="Arial"/>
          <w:b/>
          <w:bCs/>
          <w:color w:val="auto"/>
          <w:sz w:val="28"/>
          <w:szCs w:val="28"/>
          <w:lang w:val="en-US" w:eastAsia="pt-BR"/>
        </w:rPr>
        <w:t xml:space="preserve">of the Anti-Inflammatory Activities of </w:t>
      </w:r>
      <w:proofErr w:type="spellStart"/>
      <w:r w:rsidRPr="006D211D">
        <w:rPr>
          <w:rFonts w:ascii="Arial" w:eastAsia="Times New Roman" w:hAnsi="Arial" w:cs="Arial"/>
          <w:b/>
          <w:bCs/>
          <w:i/>
          <w:iCs/>
          <w:color w:val="auto"/>
          <w:sz w:val="28"/>
          <w:szCs w:val="28"/>
          <w:lang w:val="en-US" w:eastAsia="pt-BR"/>
        </w:rPr>
        <w:t>Pattalus</w:t>
      </w:r>
      <w:proofErr w:type="spellEnd"/>
      <w:r w:rsidRPr="006D211D">
        <w:rPr>
          <w:rFonts w:ascii="Arial" w:eastAsia="Times New Roman" w:hAnsi="Arial" w:cs="Arial"/>
          <w:b/>
          <w:bCs/>
          <w:i/>
          <w:iCs/>
          <w:color w:val="auto"/>
          <w:sz w:val="28"/>
          <w:szCs w:val="28"/>
          <w:lang w:val="en-US" w:eastAsia="pt-BR"/>
        </w:rPr>
        <w:t xml:space="preserve"> </w:t>
      </w:r>
      <w:r w:rsidR="006028C1" w:rsidRPr="006D211D">
        <w:rPr>
          <w:rFonts w:ascii="Arial" w:eastAsia="Times New Roman" w:hAnsi="Arial" w:cs="Arial"/>
          <w:b/>
          <w:bCs/>
          <w:i/>
          <w:iCs/>
          <w:color w:val="auto"/>
          <w:sz w:val="28"/>
          <w:szCs w:val="28"/>
          <w:lang w:val="en-US" w:eastAsia="pt-BR"/>
        </w:rPr>
        <w:t>Mollis</w:t>
      </w:r>
      <w:bookmarkEnd w:id="14"/>
    </w:p>
    <w:p w14:paraId="7DE3338B" w14:textId="33C14D52" w:rsidR="000C2BE9" w:rsidRPr="000C2BE9" w:rsidRDefault="000C2BE9" w:rsidP="006835D3">
      <w:pPr>
        <w:spacing w:before="100" w:beforeAutospacing="1" w:after="100" w:afterAutospacing="1" w:line="240" w:lineRule="auto"/>
        <w:jc w:val="both"/>
        <w:rPr>
          <w:rFonts w:ascii="Arial" w:eastAsia="Times New Roman" w:hAnsi="Arial" w:cs="Arial"/>
          <w:sz w:val="20"/>
          <w:szCs w:val="20"/>
          <w:lang w:eastAsia="pt-BR"/>
        </w:rPr>
      </w:pPr>
      <w:r w:rsidRPr="000C2BE9">
        <w:rPr>
          <w:rFonts w:ascii="Arial" w:eastAsia="Times New Roman" w:hAnsi="Arial" w:cs="Arial"/>
          <w:b/>
          <w:bCs/>
          <w:sz w:val="20"/>
          <w:szCs w:val="20"/>
          <w:lang w:eastAsia="pt-BR"/>
        </w:rPr>
        <w:t>Samara Peixoto Rodrigues¹</w:t>
      </w:r>
      <w:r w:rsidR="006835D3">
        <w:rPr>
          <w:rFonts w:ascii="Arial" w:eastAsia="Times New Roman" w:hAnsi="Arial" w:cs="Arial"/>
          <w:b/>
          <w:bCs/>
          <w:sz w:val="20"/>
          <w:szCs w:val="20"/>
          <w:lang w:eastAsia="pt-BR"/>
        </w:rPr>
        <w:t>*</w:t>
      </w:r>
      <w:r w:rsidRPr="000C2BE9">
        <w:rPr>
          <w:rFonts w:ascii="Arial" w:eastAsia="Times New Roman" w:hAnsi="Arial" w:cs="Arial"/>
          <w:b/>
          <w:bCs/>
          <w:sz w:val="20"/>
          <w:szCs w:val="20"/>
          <w:lang w:eastAsia="pt-BR"/>
        </w:rPr>
        <w:t xml:space="preserve">; Marcio Fronza²; Josué Manuel </w:t>
      </w:r>
      <w:proofErr w:type="spellStart"/>
      <w:r w:rsidRPr="000C2BE9">
        <w:rPr>
          <w:rFonts w:ascii="Arial" w:eastAsia="Times New Roman" w:hAnsi="Arial" w:cs="Arial"/>
          <w:b/>
          <w:bCs/>
          <w:sz w:val="20"/>
          <w:szCs w:val="20"/>
          <w:lang w:eastAsia="pt-BR"/>
        </w:rPr>
        <w:t>Urquiaga</w:t>
      </w:r>
      <w:proofErr w:type="spellEnd"/>
      <w:r w:rsidRPr="000C2BE9">
        <w:rPr>
          <w:rFonts w:ascii="Arial" w:eastAsia="Times New Roman" w:hAnsi="Arial" w:cs="Arial"/>
          <w:b/>
          <w:bCs/>
          <w:sz w:val="20"/>
          <w:szCs w:val="20"/>
          <w:lang w:eastAsia="pt-BR"/>
        </w:rPr>
        <w:t xml:space="preserve"> Zavaleta³; Priscila Alves Neres Pereira⁴</w:t>
      </w:r>
      <w:r w:rsidR="006835D3">
        <w:rPr>
          <w:rFonts w:ascii="Arial" w:eastAsia="Times New Roman" w:hAnsi="Arial" w:cs="Arial"/>
          <w:b/>
          <w:bCs/>
          <w:sz w:val="20"/>
          <w:szCs w:val="20"/>
          <w:lang w:eastAsia="pt-BR"/>
        </w:rPr>
        <w:t>.</w:t>
      </w:r>
    </w:p>
    <w:p w14:paraId="1E46E484" w14:textId="1330FD6D" w:rsidR="000C2BE9" w:rsidRPr="000C2BE9" w:rsidRDefault="006835D3" w:rsidP="006835D3">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000C2BE9" w:rsidRPr="000C2BE9">
        <w:rPr>
          <w:rFonts w:ascii="Arial" w:eastAsia="Times New Roman" w:hAnsi="Arial" w:cs="Arial"/>
          <w:i/>
          <w:iCs/>
          <w:sz w:val="20"/>
          <w:szCs w:val="20"/>
          <w:lang w:eastAsia="pt-BR"/>
        </w:rPr>
        <w:t>samara.prodrigues@gmail.com</w:t>
      </w:r>
    </w:p>
    <w:p w14:paraId="20B96263" w14:textId="77777777" w:rsidR="000C2BE9" w:rsidRPr="000C2BE9" w:rsidRDefault="000C2BE9" w:rsidP="006835D3">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 xml:space="preserve">¹Master’s </w:t>
      </w:r>
      <w:proofErr w:type="spellStart"/>
      <w:r w:rsidRPr="000C2BE9">
        <w:rPr>
          <w:rFonts w:ascii="Arial" w:eastAsia="Times New Roman" w:hAnsi="Arial" w:cs="Arial"/>
          <w:i/>
          <w:iCs/>
          <w:sz w:val="18"/>
          <w:szCs w:val="18"/>
          <w:lang w:eastAsia="pt-BR"/>
        </w:rPr>
        <w:t>Program</w:t>
      </w:r>
      <w:proofErr w:type="spellEnd"/>
      <w:r w:rsidRPr="000C2BE9">
        <w:rPr>
          <w:rFonts w:ascii="Arial" w:eastAsia="Times New Roman" w:hAnsi="Arial" w:cs="Arial"/>
          <w:i/>
          <w:iCs/>
          <w:sz w:val="18"/>
          <w:szCs w:val="18"/>
          <w:lang w:eastAsia="pt-BR"/>
        </w:rPr>
        <w:t xml:space="preserve"> in Pharmaceutical </w:t>
      </w:r>
      <w:proofErr w:type="spellStart"/>
      <w:r w:rsidRPr="000C2BE9">
        <w:rPr>
          <w:rFonts w:ascii="Arial" w:eastAsia="Times New Roman" w:hAnsi="Arial" w:cs="Arial"/>
          <w:i/>
          <w:iCs/>
          <w:sz w:val="18"/>
          <w:szCs w:val="18"/>
          <w:lang w:eastAsia="pt-BR"/>
        </w:rPr>
        <w:t>Sciences</w:t>
      </w:r>
      <w:proofErr w:type="spellEnd"/>
      <w:r w:rsidRPr="000C2BE9">
        <w:rPr>
          <w:rFonts w:ascii="Arial" w:eastAsia="Times New Roman" w:hAnsi="Arial" w:cs="Arial"/>
          <w:i/>
          <w:iCs/>
          <w:sz w:val="18"/>
          <w:szCs w:val="18"/>
          <w:lang w:eastAsia="pt-BR"/>
        </w:rPr>
        <w:t xml:space="preserve">, Vila Velha </w:t>
      </w:r>
      <w:proofErr w:type="spellStart"/>
      <w:r w:rsidRPr="000C2BE9">
        <w:rPr>
          <w:rFonts w:ascii="Arial" w:eastAsia="Times New Roman" w:hAnsi="Arial" w:cs="Arial"/>
          <w:i/>
          <w:iCs/>
          <w:sz w:val="18"/>
          <w:szCs w:val="18"/>
          <w:lang w:eastAsia="pt-BR"/>
        </w:rPr>
        <w:t>University</w:t>
      </w:r>
      <w:proofErr w:type="spellEnd"/>
      <w:r w:rsidRPr="000C2BE9">
        <w:rPr>
          <w:rFonts w:ascii="Arial" w:eastAsia="Times New Roman" w:hAnsi="Arial" w:cs="Arial"/>
          <w:i/>
          <w:iCs/>
          <w:sz w:val="18"/>
          <w:szCs w:val="18"/>
          <w:lang w:eastAsia="pt-BR"/>
        </w:rPr>
        <w:t xml:space="preserve"> (UVV), Vila Velha, ES, </w:t>
      </w:r>
      <w:proofErr w:type="spellStart"/>
      <w:r w:rsidRPr="000C2BE9">
        <w:rPr>
          <w:rFonts w:ascii="Arial" w:eastAsia="Times New Roman" w:hAnsi="Arial" w:cs="Arial"/>
          <w:i/>
          <w:iCs/>
          <w:sz w:val="18"/>
          <w:szCs w:val="18"/>
          <w:lang w:eastAsia="pt-BR"/>
        </w:rPr>
        <w:t>Brazil</w:t>
      </w:r>
      <w:proofErr w:type="spellEnd"/>
      <w:r w:rsidRPr="000C2BE9">
        <w:rPr>
          <w:rFonts w:ascii="Arial" w:eastAsia="Times New Roman" w:hAnsi="Arial" w:cs="Arial"/>
          <w:i/>
          <w:iCs/>
          <w:sz w:val="18"/>
          <w:szCs w:val="18"/>
          <w:lang w:eastAsia="pt-BR"/>
        </w:rPr>
        <w:t>;</w:t>
      </w:r>
    </w:p>
    <w:p w14:paraId="03003FEB" w14:textId="77777777" w:rsidR="000C2BE9" w:rsidRPr="000C2BE9" w:rsidRDefault="000C2BE9" w:rsidP="006835D3">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 xml:space="preserve">²Graduate </w:t>
      </w:r>
      <w:proofErr w:type="spellStart"/>
      <w:r w:rsidRPr="000C2BE9">
        <w:rPr>
          <w:rFonts w:ascii="Arial" w:eastAsia="Times New Roman" w:hAnsi="Arial" w:cs="Arial"/>
          <w:i/>
          <w:iCs/>
          <w:sz w:val="18"/>
          <w:szCs w:val="18"/>
          <w:lang w:eastAsia="pt-BR"/>
        </w:rPr>
        <w:t>Program</w:t>
      </w:r>
      <w:proofErr w:type="spellEnd"/>
      <w:r w:rsidRPr="000C2BE9">
        <w:rPr>
          <w:rFonts w:ascii="Arial" w:eastAsia="Times New Roman" w:hAnsi="Arial" w:cs="Arial"/>
          <w:i/>
          <w:iCs/>
          <w:sz w:val="18"/>
          <w:szCs w:val="18"/>
          <w:lang w:eastAsia="pt-BR"/>
        </w:rPr>
        <w:t xml:space="preserve"> in Pharmaceutical </w:t>
      </w:r>
      <w:proofErr w:type="spellStart"/>
      <w:r w:rsidRPr="000C2BE9">
        <w:rPr>
          <w:rFonts w:ascii="Arial" w:eastAsia="Times New Roman" w:hAnsi="Arial" w:cs="Arial"/>
          <w:i/>
          <w:iCs/>
          <w:sz w:val="18"/>
          <w:szCs w:val="18"/>
          <w:lang w:eastAsia="pt-BR"/>
        </w:rPr>
        <w:t>Sciences</w:t>
      </w:r>
      <w:proofErr w:type="spellEnd"/>
      <w:r w:rsidRPr="000C2BE9">
        <w:rPr>
          <w:rFonts w:ascii="Arial" w:eastAsia="Times New Roman" w:hAnsi="Arial" w:cs="Arial"/>
          <w:i/>
          <w:iCs/>
          <w:sz w:val="18"/>
          <w:szCs w:val="18"/>
          <w:lang w:eastAsia="pt-BR"/>
        </w:rPr>
        <w:t xml:space="preserve">, </w:t>
      </w:r>
      <w:proofErr w:type="spellStart"/>
      <w:r w:rsidRPr="000C2BE9">
        <w:rPr>
          <w:rFonts w:ascii="Arial" w:eastAsia="Times New Roman" w:hAnsi="Arial" w:cs="Arial"/>
          <w:i/>
          <w:iCs/>
          <w:sz w:val="18"/>
          <w:szCs w:val="18"/>
          <w:lang w:eastAsia="pt-BR"/>
        </w:rPr>
        <w:t>Cell</w:t>
      </w:r>
      <w:proofErr w:type="spellEnd"/>
      <w:r w:rsidRPr="000C2BE9">
        <w:rPr>
          <w:rFonts w:ascii="Arial" w:eastAsia="Times New Roman" w:hAnsi="Arial" w:cs="Arial"/>
          <w:i/>
          <w:iCs/>
          <w:sz w:val="18"/>
          <w:szCs w:val="18"/>
          <w:lang w:eastAsia="pt-BR"/>
        </w:rPr>
        <w:t xml:space="preserve"> Culture </w:t>
      </w:r>
      <w:proofErr w:type="spellStart"/>
      <w:r w:rsidRPr="000C2BE9">
        <w:rPr>
          <w:rFonts w:ascii="Arial" w:eastAsia="Times New Roman" w:hAnsi="Arial" w:cs="Arial"/>
          <w:i/>
          <w:iCs/>
          <w:sz w:val="18"/>
          <w:szCs w:val="18"/>
          <w:lang w:eastAsia="pt-BR"/>
        </w:rPr>
        <w:t>Laboratory</w:t>
      </w:r>
      <w:proofErr w:type="spellEnd"/>
      <w:r w:rsidRPr="000C2BE9">
        <w:rPr>
          <w:rFonts w:ascii="Arial" w:eastAsia="Times New Roman" w:hAnsi="Arial" w:cs="Arial"/>
          <w:i/>
          <w:iCs/>
          <w:sz w:val="18"/>
          <w:szCs w:val="18"/>
          <w:lang w:eastAsia="pt-BR"/>
        </w:rPr>
        <w:t xml:space="preserve">, Vila Velha </w:t>
      </w:r>
      <w:proofErr w:type="spellStart"/>
      <w:r w:rsidRPr="000C2BE9">
        <w:rPr>
          <w:rFonts w:ascii="Arial" w:eastAsia="Times New Roman" w:hAnsi="Arial" w:cs="Arial"/>
          <w:i/>
          <w:iCs/>
          <w:sz w:val="18"/>
          <w:szCs w:val="18"/>
          <w:lang w:eastAsia="pt-BR"/>
        </w:rPr>
        <w:t>University</w:t>
      </w:r>
      <w:proofErr w:type="spellEnd"/>
      <w:r w:rsidRPr="000C2BE9">
        <w:rPr>
          <w:rFonts w:ascii="Arial" w:eastAsia="Times New Roman" w:hAnsi="Arial" w:cs="Arial"/>
          <w:i/>
          <w:iCs/>
          <w:sz w:val="18"/>
          <w:szCs w:val="18"/>
          <w:lang w:eastAsia="pt-BR"/>
        </w:rPr>
        <w:t xml:space="preserve"> (UVV), Vila Velha, ES, </w:t>
      </w:r>
      <w:proofErr w:type="spellStart"/>
      <w:r w:rsidRPr="000C2BE9">
        <w:rPr>
          <w:rFonts w:ascii="Arial" w:eastAsia="Times New Roman" w:hAnsi="Arial" w:cs="Arial"/>
          <w:i/>
          <w:iCs/>
          <w:sz w:val="18"/>
          <w:szCs w:val="18"/>
          <w:lang w:eastAsia="pt-BR"/>
        </w:rPr>
        <w:t>Brazil</w:t>
      </w:r>
      <w:proofErr w:type="spellEnd"/>
      <w:r w:rsidRPr="000C2BE9">
        <w:rPr>
          <w:rFonts w:ascii="Arial" w:eastAsia="Times New Roman" w:hAnsi="Arial" w:cs="Arial"/>
          <w:i/>
          <w:iCs/>
          <w:sz w:val="18"/>
          <w:szCs w:val="18"/>
          <w:lang w:eastAsia="pt-BR"/>
        </w:rPr>
        <w:t>;</w:t>
      </w:r>
    </w:p>
    <w:p w14:paraId="3BA0C694" w14:textId="77777777" w:rsidR="000C2BE9" w:rsidRPr="000C2BE9" w:rsidRDefault="000C2BE9" w:rsidP="006835D3">
      <w:pPr>
        <w:spacing w:after="0" w:line="240" w:lineRule="auto"/>
        <w:jc w:val="both"/>
        <w:rPr>
          <w:rFonts w:ascii="Arial" w:eastAsia="Times New Roman" w:hAnsi="Arial" w:cs="Arial"/>
          <w:i/>
          <w:iCs/>
          <w:sz w:val="18"/>
          <w:szCs w:val="18"/>
          <w:lang w:eastAsia="pt-BR"/>
        </w:rPr>
      </w:pPr>
      <w:r w:rsidRPr="000C2BE9">
        <w:rPr>
          <w:rFonts w:ascii="Arial" w:eastAsia="Times New Roman" w:hAnsi="Arial" w:cs="Arial"/>
          <w:i/>
          <w:iCs/>
          <w:sz w:val="18"/>
          <w:szCs w:val="18"/>
          <w:lang w:eastAsia="pt-BR"/>
        </w:rPr>
        <w:t>³Universidad Nacional de Trujillo, Trujillo, Peru;</w:t>
      </w:r>
    </w:p>
    <w:p w14:paraId="684858DC" w14:textId="4DF10E60" w:rsidR="000C2BE9" w:rsidRPr="000C2BE9" w:rsidRDefault="000C2BE9" w:rsidP="006835D3">
      <w:pPr>
        <w:spacing w:after="0" w:line="240" w:lineRule="auto"/>
        <w:jc w:val="both"/>
        <w:rPr>
          <w:rFonts w:ascii="Arial" w:eastAsia="Times New Roman" w:hAnsi="Arial" w:cs="Arial"/>
          <w:i/>
          <w:iCs/>
          <w:sz w:val="18"/>
          <w:szCs w:val="18"/>
          <w:lang w:val="en-US" w:eastAsia="pt-BR"/>
        </w:rPr>
      </w:pPr>
      <w:r w:rsidRPr="000C2BE9">
        <w:rPr>
          <w:rFonts w:ascii="Arial" w:eastAsia="Times New Roman" w:hAnsi="Arial" w:cs="Arial"/>
          <w:i/>
          <w:iCs/>
          <w:sz w:val="18"/>
          <w:szCs w:val="18"/>
          <w:lang w:val="en-US" w:eastAsia="pt-BR"/>
        </w:rPr>
        <w:t>⁴Technical Support, Cell Culture Laboratory, Vila Velha University (UVV), Vila Velha, ES, Brazil.</w:t>
      </w:r>
    </w:p>
    <w:p w14:paraId="3C8E0D80" w14:textId="62395EA7" w:rsidR="000C2BE9" w:rsidRPr="000C2BE9" w:rsidRDefault="006835D3" w:rsidP="006835D3">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b/>
          <w:bCs/>
          <w:sz w:val="18"/>
          <w:szCs w:val="18"/>
          <w:lang w:val="en-US" w:eastAsia="pt-BR"/>
        </w:rPr>
        <w:t>Thematic Session:</w:t>
      </w:r>
      <w:r w:rsidRPr="009E6ED0">
        <w:rPr>
          <w:rFonts w:ascii="Arial" w:eastAsia="Times New Roman" w:hAnsi="Arial" w:cs="Arial"/>
          <w:sz w:val="18"/>
          <w:szCs w:val="18"/>
          <w:lang w:val="en-US" w:eastAsia="pt-BR"/>
        </w:rPr>
        <w:t xml:space="preserve"> Natural Products: Chemical, Biological, and Application Aspects.</w:t>
      </w:r>
    </w:p>
    <w:p w14:paraId="3EF6CFE2" w14:textId="77777777" w:rsidR="00020A6E" w:rsidRDefault="000C2BE9" w:rsidP="006835D3">
      <w:pPr>
        <w:spacing w:before="100" w:beforeAutospacing="1" w:after="100" w:afterAutospacing="1" w:line="240" w:lineRule="auto"/>
        <w:jc w:val="both"/>
        <w:rPr>
          <w:rFonts w:ascii="Arial" w:eastAsia="Times New Roman" w:hAnsi="Arial" w:cs="Arial"/>
          <w:sz w:val="20"/>
          <w:szCs w:val="20"/>
          <w:lang w:val="en-US" w:eastAsia="pt-BR"/>
        </w:rPr>
      </w:pPr>
      <w:r w:rsidRPr="000C2BE9">
        <w:rPr>
          <w:rFonts w:ascii="Arial" w:eastAsia="Times New Roman" w:hAnsi="Arial" w:cs="Arial"/>
          <w:b/>
          <w:bCs/>
          <w:sz w:val="20"/>
          <w:szCs w:val="20"/>
          <w:lang w:val="en-US" w:eastAsia="pt-BR"/>
        </w:rPr>
        <w:t>INTRODUCTION:</w:t>
      </w:r>
      <w:r w:rsidRPr="000C2BE9">
        <w:rPr>
          <w:rFonts w:ascii="Arial" w:eastAsia="Times New Roman" w:hAnsi="Arial" w:cs="Arial"/>
          <w:sz w:val="20"/>
          <w:szCs w:val="20"/>
          <w:lang w:val="en-US" w:eastAsia="pt-BR"/>
        </w:rPr>
        <w:t xml:space="preserve"> The wide variety of marine bioactive compounds has sparked growing scientific interest due to their diverse applications in different fields. Traditionally consumed in East Asia and Southeast Asia, these organisms are valued both for their culinary use and for their nutritional and therapeutic properties. The species </w:t>
      </w:r>
      <w:proofErr w:type="spellStart"/>
      <w:r w:rsidRPr="000C2BE9">
        <w:rPr>
          <w:rFonts w:ascii="Arial" w:eastAsia="Times New Roman" w:hAnsi="Arial" w:cs="Arial"/>
          <w:i/>
          <w:iCs/>
          <w:sz w:val="20"/>
          <w:szCs w:val="20"/>
          <w:lang w:val="en-US" w:eastAsia="pt-BR"/>
        </w:rPr>
        <w:t>Pattalus</w:t>
      </w:r>
      <w:proofErr w:type="spellEnd"/>
      <w:r w:rsidRPr="000C2BE9">
        <w:rPr>
          <w:rFonts w:ascii="Arial" w:eastAsia="Times New Roman" w:hAnsi="Arial" w:cs="Arial"/>
          <w:i/>
          <w:iCs/>
          <w:sz w:val="20"/>
          <w:szCs w:val="20"/>
          <w:lang w:val="en-US" w:eastAsia="pt-BR"/>
        </w:rPr>
        <w:t xml:space="preserve"> </w:t>
      </w:r>
      <w:proofErr w:type="spellStart"/>
      <w:r w:rsidRPr="000C2BE9">
        <w:rPr>
          <w:rFonts w:ascii="Arial" w:eastAsia="Times New Roman" w:hAnsi="Arial" w:cs="Arial"/>
          <w:i/>
          <w:iCs/>
          <w:sz w:val="20"/>
          <w:szCs w:val="20"/>
          <w:lang w:val="en-US" w:eastAsia="pt-BR"/>
        </w:rPr>
        <w:t>mollis</w:t>
      </w:r>
      <w:proofErr w:type="spellEnd"/>
      <w:r w:rsidRPr="000C2BE9">
        <w:rPr>
          <w:rFonts w:ascii="Arial" w:eastAsia="Times New Roman" w:hAnsi="Arial" w:cs="Arial"/>
          <w:sz w:val="20"/>
          <w:szCs w:val="20"/>
          <w:lang w:val="en-US" w:eastAsia="pt-BR"/>
        </w:rPr>
        <w:t xml:space="preserve"> is mainly found along the Peruvian coast, although its bioactivities remain poorly investigated. In general, sea cucumbers contain vitamins, minerals, and a broad range of bioactive compounds, such as polysaccharides and peptides, which are associated with anticancer, anticoagulant, antidiabetic, antimicrobial, and other biological activities. </w:t>
      </w:r>
      <w:r w:rsidRPr="000C2BE9">
        <w:rPr>
          <w:rFonts w:ascii="Arial" w:eastAsia="Times New Roman" w:hAnsi="Arial" w:cs="Arial"/>
          <w:b/>
          <w:bCs/>
          <w:sz w:val="20"/>
          <w:szCs w:val="20"/>
          <w:lang w:val="en-US" w:eastAsia="pt-BR"/>
        </w:rPr>
        <w:t>OBJECTIVE:</w:t>
      </w:r>
      <w:r w:rsidRPr="000C2BE9">
        <w:rPr>
          <w:rFonts w:ascii="Arial" w:eastAsia="Times New Roman" w:hAnsi="Arial" w:cs="Arial"/>
          <w:sz w:val="20"/>
          <w:szCs w:val="20"/>
          <w:lang w:val="en-US" w:eastAsia="pt-BR"/>
        </w:rPr>
        <w:t xml:space="preserve"> The aim of this study was to investigate the anti-inflammatory properties of </w:t>
      </w:r>
      <w:proofErr w:type="spellStart"/>
      <w:r w:rsidRPr="000C2BE9">
        <w:rPr>
          <w:rFonts w:ascii="Arial" w:eastAsia="Times New Roman" w:hAnsi="Arial" w:cs="Arial"/>
          <w:i/>
          <w:iCs/>
          <w:sz w:val="20"/>
          <w:szCs w:val="20"/>
          <w:lang w:val="en-US" w:eastAsia="pt-BR"/>
        </w:rPr>
        <w:t>Pattalus</w:t>
      </w:r>
      <w:proofErr w:type="spellEnd"/>
      <w:r w:rsidRPr="000C2BE9">
        <w:rPr>
          <w:rFonts w:ascii="Arial" w:eastAsia="Times New Roman" w:hAnsi="Arial" w:cs="Arial"/>
          <w:i/>
          <w:iCs/>
          <w:sz w:val="20"/>
          <w:szCs w:val="20"/>
          <w:lang w:val="en-US" w:eastAsia="pt-BR"/>
        </w:rPr>
        <w:t xml:space="preserve"> </w:t>
      </w:r>
      <w:proofErr w:type="spellStart"/>
      <w:r w:rsidRPr="000C2BE9">
        <w:rPr>
          <w:rFonts w:ascii="Arial" w:eastAsia="Times New Roman" w:hAnsi="Arial" w:cs="Arial"/>
          <w:i/>
          <w:iCs/>
          <w:sz w:val="20"/>
          <w:szCs w:val="20"/>
          <w:lang w:val="en-US" w:eastAsia="pt-BR"/>
        </w:rPr>
        <w:t>mollis</w:t>
      </w:r>
      <w:proofErr w:type="spellEnd"/>
      <w:r w:rsidRPr="000C2BE9">
        <w:rPr>
          <w:rFonts w:ascii="Arial" w:eastAsia="Times New Roman" w:hAnsi="Arial" w:cs="Arial"/>
          <w:sz w:val="20"/>
          <w:szCs w:val="20"/>
          <w:lang w:val="en-US" w:eastAsia="pt-BR"/>
        </w:rPr>
        <w:t xml:space="preserve"> extract and to evaluate its therapeutic potential in in vitro cellular models. </w:t>
      </w:r>
      <w:r w:rsidRPr="000C2BE9">
        <w:rPr>
          <w:rFonts w:ascii="Arial" w:eastAsia="Times New Roman" w:hAnsi="Arial" w:cs="Arial"/>
          <w:b/>
          <w:bCs/>
          <w:sz w:val="20"/>
          <w:szCs w:val="20"/>
          <w:lang w:val="en-US" w:eastAsia="pt-BR"/>
        </w:rPr>
        <w:t>METHODOLOGY:</w:t>
      </w:r>
      <w:r w:rsidRPr="000C2BE9">
        <w:rPr>
          <w:rFonts w:ascii="Arial" w:eastAsia="Times New Roman" w:hAnsi="Arial" w:cs="Arial"/>
          <w:sz w:val="20"/>
          <w:szCs w:val="20"/>
          <w:lang w:val="en-US" w:eastAsia="pt-BR"/>
        </w:rPr>
        <w:t xml:space="preserve"> Specimens of </w:t>
      </w:r>
      <w:proofErr w:type="spellStart"/>
      <w:r w:rsidRPr="000C2BE9">
        <w:rPr>
          <w:rFonts w:ascii="Arial" w:eastAsia="Times New Roman" w:hAnsi="Arial" w:cs="Arial"/>
          <w:i/>
          <w:iCs/>
          <w:sz w:val="20"/>
          <w:szCs w:val="20"/>
          <w:lang w:val="en-US" w:eastAsia="pt-BR"/>
        </w:rPr>
        <w:t>Pattalus</w:t>
      </w:r>
      <w:proofErr w:type="spellEnd"/>
      <w:r w:rsidRPr="000C2BE9">
        <w:rPr>
          <w:rFonts w:ascii="Arial" w:eastAsia="Times New Roman" w:hAnsi="Arial" w:cs="Arial"/>
          <w:i/>
          <w:iCs/>
          <w:sz w:val="20"/>
          <w:szCs w:val="20"/>
          <w:lang w:val="en-US" w:eastAsia="pt-BR"/>
        </w:rPr>
        <w:t xml:space="preserve"> </w:t>
      </w:r>
      <w:proofErr w:type="spellStart"/>
      <w:r w:rsidRPr="000C2BE9">
        <w:rPr>
          <w:rFonts w:ascii="Arial" w:eastAsia="Times New Roman" w:hAnsi="Arial" w:cs="Arial"/>
          <w:i/>
          <w:iCs/>
          <w:sz w:val="20"/>
          <w:szCs w:val="20"/>
          <w:lang w:val="en-US" w:eastAsia="pt-BR"/>
        </w:rPr>
        <w:t>mollis</w:t>
      </w:r>
      <w:proofErr w:type="spellEnd"/>
      <w:r w:rsidRPr="000C2BE9">
        <w:rPr>
          <w:rFonts w:ascii="Arial" w:eastAsia="Times New Roman" w:hAnsi="Arial" w:cs="Arial"/>
          <w:sz w:val="20"/>
          <w:szCs w:val="20"/>
          <w:lang w:val="en-US" w:eastAsia="pt-BR"/>
        </w:rPr>
        <w:t xml:space="preserve"> were collected from Isla Santa (Ancash, Peru), identified by the Instituto del Mar del Perú, and processed in the laboratory. Two samples were obtained by supercritical CO</w:t>
      </w:r>
      <w:r w:rsidRPr="000C2BE9">
        <w:rPr>
          <w:rFonts w:ascii="Cambria Math" w:eastAsia="Times New Roman" w:hAnsi="Cambria Math" w:cs="Cambria Math"/>
          <w:sz w:val="20"/>
          <w:szCs w:val="20"/>
          <w:lang w:val="en-US" w:eastAsia="pt-BR"/>
        </w:rPr>
        <w:t>₂</w:t>
      </w:r>
      <w:r w:rsidRPr="000C2BE9">
        <w:rPr>
          <w:rFonts w:ascii="Arial" w:eastAsia="Times New Roman" w:hAnsi="Arial" w:cs="Arial"/>
          <w:sz w:val="20"/>
          <w:szCs w:val="20"/>
          <w:lang w:val="en-US" w:eastAsia="pt-BR"/>
        </w:rPr>
        <w:t xml:space="preserve"> extraction under different pressure conditions, and one sample was obtained by steam distillation with ethanol, followed by concentration, filtration, drying, and lyophilization. Cytotoxicity was assessed using the MTT colorimetric assay in L929 fibroblasts and RAW 264.7 macrophages. Superoxide anion production was analyzed in LPS-stimulated RAW 264.7 macrophages treated with the samples, using NBT as a reagent. Nitric oxide production was indirectly determined by quantifying nitrite levels in the supernatant of LPS-stimulated RAW 264.7 macrophage cultures. </w:t>
      </w:r>
      <w:r w:rsidRPr="000C2BE9">
        <w:rPr>
          <w:rFonts w:ascii="Arial" w:eastAsia="Times New Roman" w:hAnsi="Arial" w:cs="Arial"/>
          <w:b/>
          <w:bCs/>
          <w:sz w:val="20"/>
          <w:szCs w:val="20"/>
          <w:lang w:val="en-US" w:eastAsia="pt-BR"/>
        </w:rPr>
        <w:t>RESULTS AND DISCUSSION:</w:t>
      </w:r>
      <w:r w:rsidRPr="000C2BE9">
        <w:rPr>
          <w:rFonts w:ascii="Arial" w:eastAsia="Times New Roman" w:hAnsi="Arial" w:cs="Arial"/>
          <w:sz w:val="20"/>
          <w:szCs w:val="20"/>
          <w:lang w:val="en-US" w:eastAsia="pt-BR"/>
        </w:rPr>
        <w:t xml:space="preserve"> In the L929 cell line, viability remained above 70% at most concentrations, with no evidence of relevant toxicity. In the RAW 264.7 cell line, viability values also remained predominantly above 70%, even at the highest concentrations tested, indicating low cytotoxicity. In the NO assay, all samples exhibited similar behavior, with final concentrations close to those of the positive control (LPS). These results suggest that none of the samples displayed significant anti-inflammatory activity through inhibition of NO production, although sample A3 showed a slightly higher effect compared to the others. In the superoxide assay, however, the profile was markedly different. All samples induced a pronounced increase in reactive species production, as evidenced by negative inhibition values. </w:t>
      </w:r>
      <w:r w:rsidRPr="000C2BE9">
        <w:rPr>
          <w:rFonts w:ascii="Arial" w:eastAsia="Times New Roman" w:hAnsi="Arial" w:cs="Arial"/>
          <w:b/>
          <w:bCs/>
          <w:sz w:val="20"/>
          <w:szCs w:val="20"/>
          <w:lang w:val="en-US" w:eastAsia="pt-BR"/>
        </w:rPr>
        <w:t>CONCLUSIONS:</w:t>
      </w:r>
      <w:r w:rsidRPr="000C2BE9">
        <w:rPr>
          <w:rFonts w:ascii="Arial" w:eastAsia="Times New Roman" w:hAnsi="Arial" w:cs="Arial"/>
          <w:sz w:val="20"/>
          <w:szCs w:val="20"/>
          <w:lang w:val="en-US" w:eastAsia="pt-BR"/>
        </w:rPr>
        <w:t xml:space="preserve"> The results obtained demonstrate that the sea cucumber extract exhibits low cytotoxicity against the evaluated cell lines, both in normal fibroblasts (L929) and in macrophages (RAW 264.7). In the nitric oxide production modulation assay, none of the samples showed relevant anti-inflammatory activity, as inhibition percentages were low. On the other hand, in the superoxide assay, all samples induced a pronounced increase in reactive species production, thus characterizing a pro-oxidant profile.</w:t>
      </w:r>
    </w:p>
    <w:p w14:paraId="51FBAEED" w14:textId="1D91ECBE" w:rsidR="000C2BE9" w:rsidRPr="000C2BE9" w:rsidRDefault="000C2BE9" w:rsidP="006835D3">
      <w:pPr>
        <w:spacing w:before="100" w:beforeAutospacing="1" w:after="100" w:afterAutospacing="1" w:line="240" w:lineRule="auto"/>
        <w:jc w:val="both"/>
        <w:rPr>
          <w:rFonts w:ascii="Arial" w:eastAsia="Times New Roman" w:hAnsi="Arial" w:cs="Arial"/>
          <w:sz w:val="20"/>
          <w:szCs w:val="20"/>
          <w:lang w:val="en-US" w:eastAsia="pt-BR"/>
        </w:rPr>
      </w:pPr>
      <w:r w:rsidRPr="000C2BE9">
        <w:rPr>
          <w:rFonts w:ascii="Arial" w:eastAsia="Times New Roman" w:hAnsi="Arial" w:cs="Arial"/>
          <w:sz w:val="18"/>
          <w:szCs w:val="18"/>
          <w:lang w:val="en-US" w:eastAsia="pt-BR"/>
        </w:rPr>
        <w:t>Keywords</w:t>
      </w:r>
      <w:r w:rsidR="006835D3" w:rsidRPr="000C2BE9">
        <w:rPr>
          <w:rFonts w:ascii="Arial" w:eastAsia="Times New Roman" w:hAnsi="Arial" w:cs="Arial"/>
          <w:sz w:val="18"/>
          <w:szCs w:val="18"/>
          <w:lang w:val="en-US" w:eastAsia="pt-BR"/>
        </w:rPr>
        <w:t xml:space="preserve">: </w:t>
      </w:r>
      <w:r w:rsidR="006835D3" w:rsidRPr="000C2BE9">
        <w:rPr>
          <w:rFonts w:ascii="Arial" w:eastAsia="Times New Roman" w:hAnsi="Arial" w:cs="Arial"/>
          <w:i/>
          <w:iCs/>
          <w:sz w:val="18"/>
          <w:szCs w:val="18"/>
          <w:lang w:val="en-US" w:eastAsia="pt-BR"/>
        </w:rPr>
        <w:t xml:space="preserve">Natural </w:t>
      </w:r>
      <w:r w:rsidR="006835D3">
        <w:rPr>
          <w:rFonts w:ascii="Arial" w:eastAsia="Times New Roman" w:hAnsi="Arial" w:cs="Arial"/>
          <w:i/>
          <w:iCs/>
          <w:sz w:val="18"/>
          <w:szCs w:val="18"/>
          <w:lang w:val="en-US" w:eastAsia="pt-BR"/>
        </w:rPr>
        <w:t>p</w:t>
      </w:r>
      <w:r w:rsidR="006835D3" w:rsidRPr="000C2BE9">
        <w:rPr>
          <w:rFonts w:ascii="Arial" w:eastAsia="Times New Roman" w:hAnsi="Arial" w:cs="Arial"/>
          <w:i/>
          <w:iCs/>
          <w:sz w:val="18"/>
          <w:szCs w:val="18"/>
          <w:lang w:val="en-US" w:eastAsia="pt-BR"/>
        </w:rPr>
        <w:t xml:space="preserve">roduct; </w:t>
      </w:r>
      <w:proofErr w:type="spellStart"/>
      <w:r w:rsidRPr="000C2BE9">
        <w:rPr>
          <w:rFonts w:ascii="Arial" w:eastAsia="Times New Roman" w:hAnsi="Arial" w:cs="Arial"/>
          <w:i/>
          <w:iCs/>
          <w:sz w:val="18"/>
          <w:szCs w:val="18"/>
          <w:lang w:val="en-US" w:eastAsia="pt-BR"/>
        </w:rPr>
        <w:t>Pattalus</w:t>
      </w:r>
      <w:proofErr w:type="spellEnd"/>
      <w:r w:rsidRPr="000C2BE9">
        <w:rPr>
          <w:rFonts w:ascii="Arial" w:eastAsia="Times New Roman" w:hAnsi="Arial" w:cs="Arial"/>
          <w:i/>
          <w:iCs/>
          <w:sz w:val="18"/>
          <w:szCs w:val="18"/>
          <w:lang w:val="en-US" w:eastAsia="pt-BR"/>
        </w:rPr>
        <w:t xml:space="preserve"> </w:t>
      </w:r>
      <w:r w:rsidR="006835D3" w:rsidRPr="000C2BE9">
        <w:rPr>
          <w:rFonts w:ascii="Arial" w:eastAsia="Times New Roman" w:hAnsi="Arial" w:cs="Arial"/>
          <w:i/>
          <w:iCs/>
          <w:sz w:val="18"/>
          <w:szCs w:val="18"/>
          <w:lang w:val="en-US" w:eastAsia="pt-BR"/>
        </w:rPr>
        <w:t xml:space="preserve">Mollis; Animal </w:t>
      </w:r>
      <w:r w:rsidR="006835D3">
        <w:rPr>
          <w:rFonts w:ascii="Arial" w:eastAsia="Times New Roman" w:hAnsi="Arial" w:cs="Arial"/>
          <w:i/>
          <w:iCs/>
          <w:sz w:val="18"/>
          <w:szCs w:val="18"/>
          <w:lang w:val="en-US" w:eastAsia="pt-BR"/>
        </w:rPr>
        <w:t>e</w:t>
      </w:r>
      <w:r w:rsidR="006835D3" w:rsidRPr="000C2BE9">
        <w:rPr>
          <w:rFonts w:ascii="Arial" w:eastAsia="Times New Roman" w:hAnsi="Arial" w:cs="Arial"/>
          <w:i/>
          <w:iCs/>
          <w:sz w:val="18"/>
          <w:szCs w:val="18"/>
          <w:lang w:val="en-US" w:eastAsia="pt-BR"/>
        </w:rPr>
        <w:t xml:space="preserve">xtract; Antioxidant </w:t>
      </w:r>
      <w:r w:rsidR="006835D3">
        <w:rPr>
          <w:rFonts w:ascii="Arial" w:eastAsia="Times New Roman" w:hAnsi="Arial" w:cs="Arial"/>
          <w:i/>
          <w:iCs/>
          <w:sz w:val="18"/>
          <w:szCs w:val="18"/>
          <w:lang w:val="en-US" w:eastAsia="pt-BR"/>
        </w:rPr>
        <w:t>a</w:t>
      </w:r>
      <w:r w:rsidR="006835D3" w:rsidRPr="000C2BE9">
        <w:rPr>
          <w:rFonts w:ascii="Arial" w:eastAsia="Times New Roman" w:hAnsi="Arial" w:cs="Arial"/>
          <w:i/>
          <w:iCs/>
          <w:sz w:val="18"/>
          <w:szCs w:val="18"/>
          <w:lang w:val="en-US" w:eastAsia="pt-BR"/>
        </w:rPr>
        <w:t>ctivity; Anti-</w:t>
      </w:r>
      <w:r w:rsidR="006835D3">
        <w:rPr>
          <w:rFonts w:ascii="Arial" w:eastAsia="Times New Roman" w:hAnsi="Arial" w:cs="Arial"/>
          <w:i/>
          <w:iCs/>
          <w:sz w:val="18"/>
          <w:szCs w:val="18"/>
          <w:lang w:val="en-US" w:eastAsia="pt-BR"/>
        </w:rPr>
        <w:t>i</w:t>
      </w:r>
      <w:r w:rsidR="006835D3" w:rsidRPr="000C2BE9">
        <w:rPr>
          <w:rFonts w:ascii="Arial" w:eastAsia="Times New Roman" w:hAnsi="Arial" w:cs="Arial"/>
          <w:i/>
          <w:iCs/>
          <w:sz w:val="18"/>
          <w:szCs w:val="18"/>
          <w:lang w:val="en-US" w:eastAsia="pt-BR"/>
        </w:rPr>
        <w:t xml:space="preserve">nflammatory </w:t>
      </w:r>
      <w:r w:rsidR="006835D3">
        <w:rPr>
          <w:rFonts w:ascii="Arial" w:eastAsia="Times New Roman" w:hAnsi="Arial" w:cs="Arial"/>
          <w:i/>
          <w:iCs/>
          <w:sz w:val="18"/>
          <w:szCs w:val="18"/>
          <w:lang w:val="en-US" w:eastAsia="pt-BR"/>
        </w:rPr>
        <w:t>a</w:t>
      </w:r>
      <w:r w:rsidR="006835D3" w:rsidRPr="000C2BE9">
        <w:rPr>
          <w:rFonts w:ascii="Arial" w:eastAsia="Times New Roman" w:hAnsi="Arial" w:cs="Arial"/>
          <w:i/>
          <w:iCs/>
          <w:sz w:val="18"/>
          <w:szCs w:val="18"/>
          <w:lang w:val="en-US" w:eastAsia="pt-BR"/>
        </w:rPr>
        <w:t>ctivity.</w:t>
      </w:r>
    </w:p>
    <w:p w14:paraId="3F7294FC" w14:textId="77777777" w:rsidR="000C2BE9" w:rsidRPr="000C2BE9" w:rsidRDefault="000C2BE9" w:rsidP="006835D3">
      <w:pPr>
        <w:spacing w:before="100" w:beforeAutospacing="1" w:after="100" w:afterAutospacing="1" w:line="240" w:lineRule="auto"/>
        <w:jc w:val="both"/>
        <w:rPr>
          <w:rFonts w:ascii="Arial" w:eastAsia="Times New Roman" w:hAnsi="Arial" w:cs="Arial"/>
          <w:sz w:val="20"/>
          <w:szCs w:val="20"/>
          <w:lang w:val="en-US" w:eastAsia="pt-BR"/>
        </w:rPr>
      </w:pPr>
      <w:r w:rsidRPr="000C2BE9">
        <w:rPr>
          <w:rFonts w:ascii="Arial" w:eastAsia="Times New Roman" w:hAnsi="Arial" w:cs="Arial"/>
          <w:sz w:val="20"/>
          <w:szCs w:val="20"/>
          <w:lang w:val="en-US" w:eastAsia="pt-BR"/>
        </w:rPr>
        <w:t>Acknowledgments: Vila Velha University (UVV) and Espírito Santo Research and Innovation Support Foundation (FAPES).</w:t>
      </w:r>
    </w:p>
    <w:p w14:paraId="57272179" w14:textId="77777777" w:rsidR="000C2BE9" w:rsidRDefault="000C2BE9" w:rsidP="009E6ED0">
      <w:pPr>
        <w:jc w:val="both"/>
        <w:rPr>
          <w:rFonts w:ascii="Arial" w:hAnsi="Arial" w:cs="Arial"/>
          <w:sz w:val="20"/>
          <w:szCs w:val="20"/>
          <w:lang w:val="en-US"/>
        </w:rPr>
      </w:pPr>
    </w:p>
    <w:p w14:paraId="4FB0781A" w14:textId="77777777" w:rsidR="00020A6E" w:rsidRDefault="00020A6E" w:rsidP="009E6ED0">
      <w:pPr>
        <w:jc w:val="both"/>
        <w:rPr>
          <w:rFonts w:ascii="Arial" w:hAnsi="Arial" w:cs="Arial"/>
          <w:sz w:val="20"/>
          <w:szCs w:val="20"/>
          <w:lang w:val="en-US"/>
        </w:rPr>
      </w:pPr>
    </w:p>
    <w:p w14:paraId="4FDB2F9D" w14:textId="77777777" w:rsidR="00020A6E" w:rsidRDefault="00020A6E" w:rsidP="009E6ED0">
      <w:pPr>
        <w:jc w:val="both"/>
        <w:rPr>
          <w:rFonts w:ascii="Arial" w:hAnsi="Arial" w:cs="Arial"/>
          <w:sz w:val="20"/>
          <w:szCs w:val="20"/>
          <w:lang w:val="en-US"/>
        </w:rPr>
      </w:pPr>
    </w:p>
    <w:p w14:paraId="30EB53A4" w14:textId="77777777" w:rsidR="00020A6E" w:rsidRPr="006D211D" w:rsidRDefault="00020A6E" w:rsidP="006D211D">
      <w:pPr>
        <w:pStyle w:val="Ttulo1"/>
        <w:rPr>
          <w:rFonts w:ascii="Arial" w:hAnsi="Arial" w:cs="Arial"/>
          <w:b/>
          <w:bCs/>
          <w:color w:val="auto"/>
          <w:sz w:val="28"/>
          <w:szCs w:val="28"/>
          <w:lang w:val="en-US"/>
        </w:rPr>
      </w:pPr>
      <w:bookmarkStart w:id="15" w:name="_Toc211954572"/>
      <w:r w:rsidRPr="006D211D">
        <w:rPr>
          <w:rFonts w:ascii="Arial" w:hAnsi="Arial" w:cs="Arial"/>
          <w:b/>
          <w:bCs/>
          <w:color w:val="auto"/>
          <w:sz w:val="28"/>
          <w:szCs w:val="28"/>
          <w:lang w:val="en-US"/>
        </w:rPr>
        <w:lastRenderedPageBreak/>
        <w:t xml:space="preserve">Evaluation of the Nephroprotective Effect of </w:t>
      </w:r>
      <w:proofErr w:type="spellStart"/>
      <w:r w:rsidRPr="006D211D">
        <w:rPr>
          <w:rFonts w:ascii="Arial" w:hAnsi="Arial" w:cs="Arial"/>
          <w:b/>
          <w:bCs/>
          <w:color w:val="auto"/>
          <w:sz w:val="28"/>
          <w:szCs w:val="28"/>
          <w:lang w:val="en-US"/>
        </w:rPr>
        <w:t>Pereskia</w:t>
      </w:r>
      <w:proofErr w:type="spellEnd"/>
      <w:r w:rsidRPr="006D211D">
        <w:rPr>
          <w:rFonts w:ascii="Arial" w:hAnsi="Arial" w:cs="Arial"/>
          <w:b/>
          <w:bCs/>
          <w:color w:val="auto"/>
          <w:sz w:val="28"/>
          <w:szCs w:val="28"/>
          <w:lang w:val="en-US"/>
        </w:rPr>
        <w:t xml:space="preserve"> aculeata in Mice with Acute Kidney Injury</w:t>
      </w:r>
      <w:bookmarkEnd w:id="15"/>
    </w:p>
    <w:p w14:paraId="5D102A27" w14:textId="5639B298" w:rsidR="00020A6E" w:rsidRPr="00020A6E" w:rsidRDefault="00020A6E" w:rsidP="00020A6E">
      <w:pPr>
        <w:spacing w:before="236"/>
        <w:ind w:left="2"/>
        <w:jc w:val="both"/>
        <w:rPr>
          <w:rFonts w:ascii="Arial" w:eastAsia="Arial" w:hAnsi="Arial" w:cs="Arial"/>
          <w:b/>
          <w:sz w:val="20"/>
          <w:szCs w:val="20"/>
        </w:rPr>
      </w:pPr>
      <w:r w:rsidRPr="00020A6E">
        <w:rPr>
          <w:rFonts w:ascii="Arial" w:hAnsi="Arial" w:cs="Arial"/>
          <w:b/>
          <w:sz w:val="20"/>
          <w:szCs w:val="20"/>
        </w:rPr>
        <w:t>Daniela Batista de Castro</w:t>
      </w:r>
      <w:r w:rsidRPr="00020A6E">
        <w:rPr>
          <w:rFonts w:ascii="Arial" w:eastAsia="Arial" w:hAnsi="Arial" w:cs="Arial"/>
          <w:b/>
          <w:sz w:val="20"/>
          <w:szCs w:val="20"/>
          <w:vertAlign w:val="superscript"/>
        </w:rPr>
        <w:t>1*</w:t>
      </w:r>
      <w:r w:rsidRPr="00020A6E">
        <w:rPr>
          <w:rFonts w:ascii="Arial" w:eastAsia="Arial" w:hAnsi="Arial" w:cs="Arial"/>
          <w:b/>
          <w:sz w:val="20"/>
          <w:szCs w:val="20"/>
        </w:rPr>
        <w:t xml:space="preserve">; Ana </w:t>
      </w:r>
      <w:proofErr w:type="spellStart"/>
      <w:r w:rsidRPr="00020A6E">
        <w:rPr>
          <w:rFonts w:ascii="Arial" w:eastAsia="Arial" w:hAnsi="Arial" w:cs="Arial"/>
          <w:b/>
          <w:sz w:val="20"/>
          <w:szCs w:val="20"/>
        </w:rPr>
        <w:t>Karolin</w:t>
      </w:r>
      <w:r w:rsidRPr="00020A6E">
        <w:rPr>
          <w:rFonts w:ascii="Arial" w:hAnsi="Arial" w:cs="Arial"/>
          <w:b/>
          <w:sz w:val="20"/>
          <w:szCs w:val="20"/>
        </w:rPr>
        <w:t>y</w:t>
      </w:r>
      <w:proofErr w:type="spellEnd"/>
      <w:r w:rsidRPr="00020A6E">
        <w:rPr>
          <w:rFonts w:ascii="Arial" w:hAnsi="Arial" w:cs="Arial"/>
          <w:b/>
          <w:sz w:val="20"/>
          <w:szCs w:val="20"/>
        </w:rPr>
        <w:t xml:space="preserve"> Nunes Pignaton</w:t>
      </w:r>
      <w:r w:rsidRPr="00020A6E">
        <w:rPr>
          <w:rFonts w:ascii="Arial" w:hAnsi="Arial" w:cs="Arial"/>
          <w:b/>
        </w:rPr>
        <w:t>¹</w:t>
      </w:r>
      <w:r w:rsidRPr="00020A6E">
        <w:rPr>
          <w:rFonts w:ascii="Arial" w:hAnsi="Arial" w:cs="Arial"/>
          <w:b/>
          <w:sz w:val="20"/>
          <w:szCs w:val="20"/>
        </w:rPr>
        <w:t xml:space="preserve">; </w:t>
      </w:r>
      <w:r w:rsidRPr="00020A6E">
        <w:rPr>
          <w:rFonts w:ascii="Arial" w:hAnsi="Arial" w:cs="Arial"/>
          <w:b/>
        </w:rPr>
        <w:t xml:space="preserve">Talita Carvalho de Oliveira Gonçalves¹; </w:t>
      </w:r>
      <w:r w:rsidRPr="00020A6E">
        <w:rPr>
          <w:rFonts w:ascii="Arial" w:hAnsi="Arial" w:cs="Arial"/>
          <w:b/>
          <w:sz w:val="20"/>
          <w:szCs w:val="20"/>
        </w:rPr>
        <w:t>Bianca Prandi Campagnaro¹; Thiago de Melo Costa Pereira</w:t>
      </w:r>
      <w:r w:rsidRPr="00020A6E">
        <w:rPr>
          <w:rFonts w:ascii="Arial" w:eastAsia="Arial" w:hAnsi="Arial" w:cs="Arial"/>
          <w:b/>
          <w:sz w:val="20"/>
          <w:szCs w:val="20"/>
        </w:rPr>
        <w:t xml:space="preserve"> Autor</w:t>
      </w:r>
      <w:r w:rsidRPr="00020A6E">
        <w:rPr>
          <w:rFonts w:ascii="Arial" w:hAnsi="Arial" w:cs="Arial"/>
          <w:b/>
        </w:rPr>
        <w:t>¹;</w:t>
      </w:r>
      <w:r w:rsidRPr="00020A6E">
        <w:rPr>
          <w:rFonts w:ascii="Arial" w:hAnsi="Arial" w:cs="Arial"/>
          <w:b/>
          <w:sz w:val="20"/>
          <w:szCs w:val="20"/>
          <w:vertAlign w:val="superscript"/>
        </w:rPr>
        <w:t xml:space="preserve"> </w:t>
      </w:r>
      <w:r w:rsidRPr="00020A6E">
        <w:rPr>
          <w:rFonts w:ascii="Arial" w:hAnsi="Arial" w:cs="Arial"/>
          <w:b/>
          <w:sz w:val="20"/>
          <w:szCs w:val="20"/>
        </w:rPr>
        <w:t>Rafaela Aires¹</w:t>
      </w:r>
      <w:r w:rsidRPr="00020A6E">
        <w:rPr>
          <w:rFonts w:ascii="Arial" w:eastAsia="Arial" w:hAnsi="Arial" w:cs="Arial"/>
          <w:b/>
          <w:sz w:val="20"/>
          <w:szCs w:val="20"/>
        </w:rPr>
        <w:t xml:space="preserve">.  </w:t>
      </w:r>
    </w:p>
    <w:p w14:paraId="18D77412" w14:textId="5C851A3F" w:rsidR="00020A6E" w:rsidRPr="00020A6E" w:rsidRDefault="00020A6E" w:rsidP="00020A6E">
      <w:pPr>
        <w:spacing w:before="236"/>
        <w:ind w:left="2"/>
        <w:jc w:val="both"/>
        <w:rPr>
          <w:rFonts w:ascii="Arial" w:hAnsi="Arial" w:cs="Arial"/>
          <w:i/>
          <w:iCs/>
          <w:sz w:val="20"/>
          <w:szCs w:val="20"/>
        </w:rPr>
      </w:pPr>
      <w:r w:rsidRPr="00020A6E">
        <w:rPr>
          <w:rFonts w:ascii="Arial" w:hAnsi="Arial" w:cs="Arial"/>
          <w:b/>
          <w:i/>
          <w:iCs/>
          <w:sz w:val="20"/>
          <w:szCs w:val="20"/>
        </w:rPr>
        <w:t>*</w:t>
      </w:r>
      <w:r w:rsidRPr="00020A6E">
        <w:rPr>
          <w:rFonts w:ascii="Arial" w:hAnsi="Arial" w:cs="Arial"/>
          <w:i/>
          <w:iCs/>
          <w:sz w:val="20"/>
          <w:szCs w:val="20"/>
        </w:rPr>
        <w:t>danielabdecastro01@gmail.com</w:t>
      </w:r>
    </w:p>
    <w:p w14:paraId="583E1A1D" w14:textId="1C124087" w:rsidR="00020A6E" w:rsidRPr="00020A6E" w:rsidRDefault="00020A6E" w:rsidP="00020A6E">
      <w:pPr>
        <w:spacing w:line="209" w:lineRule="auto"/>
        <w:ind w:left="2"/>
        <w:jc w:val="both"/>
        <w:rPr>
          <w:rFonts w:ascii="Arial" w:hAnsi="Arial" w:cs="Arial"/>
          <w:i/>
          <w:sz w:val="18"/>
          <w:szCs w:val="18"/>
        </w:rPr>
      </w:pPr>
      <w:bookmarkStart w:id="16" w:name="_o42o6jnuzph" w:colFirst="0" w:colLast="0"/>
      <w:bookmarkEnd w:id="16"/>
      <w:r w:rsidRPr="00020A6E">
        <w:rPr>
          <w:rFonts w:ascii="Arial" w:eastAsia="Arial" w:hAnsi="Arial" w:cs="Arial"/>
          <w:i/>
          <w:sz w:val="20"/>
          <w:szCs w:val="20"/>
          <w:vertAlign w:val="superscript"/>
        </w:rPr>
        <w:t>1</w:t>
      </w:r>
      <w:r w:rsidRPr="00020A6E">
        <w:rPr>
          <w:rFonts w:ascii="Arial" w:eastAsia="Arial" w:hAnsi="Arial" w:cs="Arial"/>
          <w:i/>
          <w:sz w:val="18"/>
          <w:szCs w:val="18"/>
        </w:rPr>
        <w:t>Universidade de Vila Velha (UVV), Vila Velha, ES, Brasil;</w:t>
      </w:r>
    </w:p>
    <w:p w14:paraId="60A767E1" w14:textId="77777777" w:rsidR="00020A6E" w:rsidRDefault="00020A6E" w:rsidP="00020A6E">
      <w:pPr>
        <w:spacing w:after="0" w:line="240" w:lineRule="auto"/>
        <w:jc w:val="both"/>
        <w:rPr>
          <w:rFonts w:ascii="Arial" w:eastAsia="Times New Roman" w:hAnsi="Arial" w:cs="Arial"/>
          <w:sz w:val="18"/>
          <w:szCs w:val="18"/>
          <w:lang w:val="en-US" w:eastAsia="pt-BR"/>
        </w:rPr>
      </w:pPr>
      <w:r w:rsidRPr="00C26F74">
        <w:rPr>
          <w:rFonts w:ascii="Arial" w:eastAsia="Times New Roman" w:hAnsi="Arial" w:cs="Arial"/>
          <w:b/>
          <w:bCs/>
          <w:sz w:val="18"/>
          <w:szCs w:val="18"/>
          <w:lang w:val="en-US" w:eastAsia="pt-BR"/>
        </w:rPr>
        <w:t>Thematic Session:</w:t>
      </w:r>
      <w:r w:rsidRPr="00C26F74">
        <w:rPr>
          <w:rFonts w:ascii="Arial" w:eastAsia="Times New Roman" w:hAnsi="Arial" w:cs="Arial"/>
          <w:sz w:val="18"/>
          <w:szCs w:val="18"/>
          <w:lang w:val="en-US" w:eastAsia="pt-BR"/>
        </w:rPr>
        <w:t xml:space="preserve"> Pathophysiology and Triggering Factors of Human and Animal Diseases.</w:t>
      </w:r>
    </w:p>
    <w:p w14:paraId="3933BE3F" w14:textId="77777777" w:rsidR="00020A6E" w:rsidRDefault="00020A6E" w:rsidP="00020A6E">
      <w:pPr>
        <w:ind w:left="2" w:right="138"/>
        <w:jc w:val="both"/>
        <w:rPr>
          <w:rFonts w:ascii="Arial" w:hAnsi="Arial" w:cs="Arial"/>
          <w:b/>
          <w:sz w:val="20"/>
          <w:szCs w:val="20"/>
          <w:lang w:val="en-US"/>
        </w:rPr>
      </w:pPr>
    </w:p>
    <w:p w14:paraId="5011E74D" w14:textId="1AF6EDE5" w:rsidR="00020A6E" w:rsidRPr="00020A6E" w:rsidRDefault="00020A6E" w:rsidP="00020A6E">
      <w:pPr>
        <w:ind w:left="2" w:right="138"/>
        <w:jc w:val="both"/>
        <w:rPr>
          <w:rFonts w:ascii="Arial" w:hAnsi="Arial" w:cs="Arial"/>
          <w:sz w:val="20"/>
          <w:szCs w:val="20"/>
          <w:lang w:val="en-US"/>
        </w:rPr>
      </w:pPr>
      <w:r w:rsidRPr="00020A6E">
        <w:rPr>
          <w:rFonts w:ascii="Arial" w:hAnsi="Arial" w:cs="Arial"/>
          <w:b/>
          <w:sz w:val="20"/>
          <w:szCs w:val="20"/>
          <w:lang w:val="en-US"/>
        </w:rPr>
        <w:t xml:space="preserve">INTRODUCTION: </w:t>
      </w:r>
      <w:proofErr w:type="spellStart"/>
      <w:r w:rsidRPr="00020A6E">
        <w:rPr>
          <w:rFonts w:ascii="Arial" w:hAnsi="Arial" w:cs="Arial"/>
          <w:i/>
          <w:iCs/>
          <w:sz w:val="20"/>
          <w:szCs w:val="20"/>
          <w:lang w:val="en-US"/>
        </w:rPr>
        <w:t>Pereskia</w:t>
      </w:r>
      <w:proofErr w:type="spellEnd"/>
      <w:r w:rsidRPr="00020A6E">
        <w:rPr>
          <w:rFonts w:ascii="Arial" w:hAnsi="Arial" w:cs="Arial"/>
          <w:i/>
          <w:iCs/>
          <w:sz w:val="20"/>
          <w:szCs w:val="20"/>
          <w:lang w:val="en-US"/>
        </w:rPr>
        <w:t xml:space="preserve"> aculeata</w:t>
      </w:r>
      <w:r w:rsidRPr="00020A6E">
        <w:rPr>
          <w:rFonts w:ascii="Arial" w:hAnsi="Arial" w:cs="Arial"/>
          <w:sz w:val="20"/>
          <w:szCs w:val="20"/>
          <w:lang w:val="en-US"/>
        </w:rPr>
        <w:t xml:space="preserve"> Miller, commonly known as </w:t>
      </w:r>
      <w:proofErr w:type="spellStart"/>
      <w:r w:rsidRPr="00020A6E">
        <w:rPr>
          <w:rFonts w:ascii="Arial" w:hAnsi="Arial" w:cs="Arial"/>
          <w:sz w:val="20"/>
          <w:szCs w:val="20"/>
          <w:lang w:val="en-US"/>
        </w:rPr>
        <w:t>ora</w:t>
      </w:r>
      <w:proofErr w:type="spellEnd"/>
      <w:r w:rsidRPr="00020A6E">
        <w:rPr>
          <w:rFonts w:ascii="Arial" w:hAnsi="Arial" w:cs="Arial"/>
          <w:sz w:val="20"/>
          <w:szCs w:val="20"/>
          <w:lang w:val="en-US"/>
        </w:rPr>
        <w:t>-pro-</w:t>
      </w:r>
      <w:proofErr w:type="spellStart"/>
      <w:r w:rsidRPr="00020A6E">
        <w:rPr>
          <w:rFonts w:ascii="Arial" w:hAnsi="Arial" w:cs="Arial"/>
          <w:sz w:val="20"/>
          <w:szCs w:val="20"/>
          <w:lang w:val="en-US"/>
        </w:rPr>
        <w:t>nóbis</w:t>
      </w:r>
      <w:proofErr w:type="spellEnd"/>
      <w:r w:rsidRPr="00020A6E">
        <w:rPr>
          <w:rFonts w:ascii="Arial" w:hAnsi="Arial" w:cs="Arial"/>
          <w:sz w:val="20"/>
          <w:szCs w:val="20"/>
          <w:lang w:val="en-US"/>
        </w:rPr>
        <w:t xml:space="preserve"> (OPN), is a non-conventional edible plant (PANC) with high nutritional value, notable for its rich content of proteins, fibers, vitamins, and minerals. Beyond its culinary use, OPN is employed in traditional medicine and contains bioactive compounds with antioxidant and anti-inflammatory properties, although clinical studies on its effects are lacking. Considering that oxidative stress plays a central role in the pathophysiology of renal diseases, its modulation may represent a promising strategy for preventing kidney injury. Nephropathies, often associated with comorbidities such as hypertension, diabetes, and atherosclerosis, still lack effective therapies due to their multifactorial nature. In this context, acute kidney injury (AKI) stands out for its high morbidity and mortality, especially when associated with nephrotoxic drugs. Among these, nonsteroidal anti-inflammatory drugs (NSAIDs) are widely used, yet their inhibition of renal prostaglandins compromises glomerular filtration, promoting ischemia and renal dysfunction. Therefore, investigating the potential of OPN as a natural agent capable of attenuating inflammatory and oxidative processes is relevant for renal protection and the development of novel therapeutic approaches. </w:t>
      </w:r>
      <w:r w:rsidRPr="00020A6E">
        <w:rPr>
          <w:rFonts w:ascii="Arial" w:hAnsi="Arial" w:cs="Arial"/>
          <w:b/>
          <w:sz w:val="20"/>
          <w:szCs w:val="20"/>
          <w:lang w:val="en-US"/>
        </w:rPr>
        <w:t xml:space="preserve">OBJECTIVE: </w:t>
      </w:r>
      <w:r w:rsidRPr="00020A6E">
        <w:rPr>
          <w:rFonts w:ascii="Arial" w:hAnsi="Arial" w:cs="Arial"/>
          <w:sz w:val="20"/>
          <w:szCs w:val="20"/>
          <w:lang w:val="en-US"/>
        </w:rPr>
        <w:t xml:space="preserve">To evaluate the preventive effects of OPN administration on NSAID-induced acute kidney injury. </w:t>
      </w:r>
      <w:r w:rsidRPr="00020A6E">
        <w:rPr>
          <w:rFonts w:ascii="Arial" w:hAnsi="Arial" w:cs="Arial"/>
          <w:b/>
          <w:sz w:val="20"/>
          <w:szCs w:val="20"/>
          <w:lang w:val="en-US"/>
        </w:rPr>
        <w:t xml:space="preserve">METHODS: </w:t>
      </w:r>
      <w:r w:rsidRPr="00020A6E">
        <w:rPr>
          <w:rFonts w:ascii="Arial" w:hAnsi="Arial" w:cs="Arial"/>
          <w:sz w:val="20"/>
          <w:szCs w:val="20"/>
          <w:lang w:val="en-US"/>
        </w:rPr>
        <w:t xml:space="preserve">Male Swiss mice, weighing 30–40 g, obtained from the Vila Velha University animal facility, were housed under standard conditions. Three experimental groups were established: Control (CON), with no induction or treatment; Induced Nephropathy (NEF), subjected to AKI induction via prostaglandin and nitric oxide inhibition without treatment; and NEF treated with </w:t>
      </w:r>
      <w:proofErr w:type="spellStart"/>
      <w:r w:rsidRPr="00020A6E">
        <w:rPr>
          <w:rFonts w:ascii="Arial" w:hAnsi="Arial" w:cs="Arial"/>
          <w:sz w:val="20"/>
          <w:szCs w:val="20"/>
          <w:lang w:val="en-US"/>
        </w:rPr>
        <w:t>Pereskia</w:t>
      </w:r>
      <w:proofErr w:type="spellEnd"/>
      <w:r w:rsidRPr="00020A6E">
        <w:rPr>
          <w:rFonts w:ascii="Arial" w:hAnsi="Arial" w:cs="Arial"/>
          <w:sz w:val="20"/>
          <w:szCs w:val="20"/>
          <w:lang w:val="en-US"/>
        </w:rPr>
        <w:t xml:space="preserve"> aculeata extract (OPN+NEF) at 1000 mg/kg. Treatment was administered orally by gavage for five consecutive days, with doses adjusted to body weight. AKI was induced on day six, and biological samples were collected on day seven for analysis. </w:t>
      </w:r>
      <w:r w:rsidRPr="00020A6E">
        <w:rPr>
          <w:rFonts w:ascii="Arial" w:hAnsi="Arial" w:cs="Arial"/>
          <w:b/>
          <w:sz w:val="20"/>
          <w:szCs w:val="20"/>
          <w:lang w:val="en-US"/>
        </w:rPr>
        <w:t xml:space="preserve">RESULTS AND DISCUSSION: </w:t>
      </w:r>
      <w:r w:rsidRPr="00020A6E">
        <w:rPr>
          <w:rFonts w:ascii="Arial" w:hAnsi="Arial" w:cs="Arial"/>
          <w:sz w:val="20"/>
          <w:szCs w:val="20"/>
          <w:lang w:val="en-US"/>
        </w:rPr>
        <w:t xml:space="preserve">The NEF group showed significantly higher creatinine levels compared to the other groups. In contrast, the OPN+NEF group presented lower creatinine levels than NEF, indicating a promising protective effect, considering that creatinine is a late marker of renal damage. Regarding urea, both NEF and OPN+NEF groups exhibited higher values than CON, confirming kidney injury; however, the OPN+NEF group showed a significant reduction compared to NEF, suggesting a </w:t>
      </w:r>
      <w:proofErr w:type="spellStart"/>
      <w:r w:rsidRPr="00020A6E">
        <w:rPr>
          <w:rFonts w:ascii="Arial" w:hAnsi="Arial" w:cs="Arial"/>
          <w:sz w:val="20"/>
          <w:szCs w:val="20"/>
          <w:lang w:val="en-US"/>
        </w:rPr>
        <w:t>renoprotective</w:t>
      </w:r>
      <w:proofErr w:type="spellEnd"/>
      <w:r w:rsidRPr="00020A6E">
        <w:rPr>
          <w:rFonts w:ascii="Arial" w:hAnsi="Arial" w:cs="Arial"/>
          <w:sz w:val="20"/>
          <w:szCs w:val="20"/>
          <w:lang w:val="en-US"/>
        </w:rPr>
        <w:t xml:space="preserve"> effect. Oxidative stress was evidenced by increased AOPP and TBARS levels in the NEF group, while their reduction in the OPN+NEF group confirmed the antioxidant effects of </w:t>
      </w:r>
      <w:proofErr w:type="spellStart"/>
      <w:r w:rsidRPr="00020A6E">
        <w:rPr>
          <w:rFonts w:ascii="Arial" w:hAnsi="Arial" w:cs="Arial"/>
          <w:sz w:val="20"/>
          <w:szCs w:val="20"/>
          <w:lang w:val="en-US"/>
        </w:rPr>
        <w:t>Pereskia</w:t>
      </w:r>
      <w:proofErr w:type="spellEnd"/>
      <w:r w:rsidRPr="00020A6E">
        <w:rPr>
          <w:rFonts w:ascii="Arial" w:hAnsi="Arial" w:cs="Arial"/>
          <w:sz w:val="20"/>
          <w:szCs w:val="20"/>
          <w:lang w:val="en-US"/>
        </w:rPr>
        <w:t xml:space="preserve"> aculeata extract. </w:t>
      </w:r>
      <w:r w:rsidRPr="00020A6E">
        <w:rPr>
          <w:rFonts w:ascii="Arial" w:hAnsi="Arial" w:cs="Arial"/>
          <w:b/>
          <w:sz w:val="20"/>
          <w:szCs w:val="20"/>
          <w:lang w:val="en-US"/>
        </w:rPr>
        <w:t xml:space="preserve">CONCLUSIONS: </w:t>
      </w:r>
      <w:r w:rsidRPr="00020A6E">
        <w:rPr>
          <w:rFonts w:ascii="Arial" w:hAnsi="Arial" w:cs="Arial"/>
          <w:sz w:val="20"/>
          <w:szCs w:val="20"/>
          <w:lang w:val="en-US"/>
        </w:rPr>
        <w:t xml:space="preserve">These results indicate that OPN has therapeutic potential in preventing and mitigating renal injury induced by oxidative stress. Standardization of the extract and the development of nutraceutical or </w:t>
      </w:r>
      <w:proofErr w:type="spellStart"/>
      <w:r w:rsidRPr="00020A6E">
        <w:rPr>
          <w:rFonts w:ascii="Arial" w:hAnsi="Arial" w:cs="Arial"/>
          <w:sz w:val="20"/>
          <w:szCs w:val="20"/>
          <w:lang w:val="en-US"/>
        </w:rPr>
        <w:t>phytotherapeutic</w:t>
      </w:r>
      <w:proofErr w:type="spellEnd"/>
      <w:r w:rsidRPr="00020A6E">
        <w:rPr>
          <w:rFonts w:ascii="Arial" w:hAnsi="Arial" w:cs="Arial"/>
          <w:sz w:val="20"/>
          <w:szCs w:val="20"/>
          <w:lang w:val="en-US"/>
        </w:rPr>
        <w:t xml:space="preserve"> formulations, followed by preclinical and clinical studies, may enable the application of OPN as a natural, plant-derived </w:t>
      </w:r>
      <w:proofErr w:type="spellStart"/>
      <w:r w:rsidRPr="00020A6E">
        <w:rPr>
          <w:rFonts w:ascii="Arial" w:hAnsi="Arial" w:cs="Arial"/>
          <w:sz w:val="20"/>
          <w:szCs w:val="20"/>
          <w:lang w:val="en-US"/>
        </w:rPr>
        <w:t>renoprotective</w:t>
      </w:r>
      <w:proofErr w:type="spellEnd"/>
      <w:r w:rsidRPr="00020A6E">
        <w:rPr>
          <w:rFonts w:ascii="Arial" w:hAnsi="Arial" w:cs="Arial"/>
          <w:sz w:val="20"/>
          <w:szCs w:val="20"/>
          <w:lang w:val="en-US"/>
        </w:rPr>
        <w:t xml:space="preserve"> agent.</w:t>
      </w:r>
    </w:p>
    <w:p w14:paraId="139F9CBF" w14:textId="77777777" w:rsidR="00020A6E" w:rsidRDefault="00020A6E" w:rsidP="00020A6E">
      <w:pPr>
        <w:spacing w:before="1"/>
        <w:ind w:left="2"/>
        <w:jc w:val="both"/>
        <w:rPr>
          <w:rFonts w:ascii="Arial" w:eastAsia="Times New Roman" w:hAnsi="Arial" w:cs="Arial"/>
          <w:sz w:val="18"/>
          <w:szCs w:val="18"/>
          <w:lang w:val="en-US" w:eastAsia="pt-BR"/>
        </w:rPr>
      </w:pPr>
    </w:p>
    <w:p w14:paraId="005ED2B9" w14:textId="7B5C0102" w:rsidR="00020A6E" w:rsidRPr="00020A6E" w:rsidRDefault="00020A6E" w:rsidP="00020A6E">
      <w:pPr>
        <w:spacing w:before="1"/>
        <w:ind w:left="2"/>
        <w:jc w:val="both"/>
        <w:rPr>
          <w:rFonts w:ascii="Arial" w:hAnsi="Arial" w:cs="Arial"/>
          <w:i/>
          <w:sz w:val="18"/>
          <w:szCs w:val="18"/>
          <w:lang w:val="en-US"/>
        </w:rPr>
      </w:pPr>
      <w:r w:rsidRPr="000C2BE9">
        <w:rPr>
          <w:rFonts w:ascii="Arial" w:eastAsia="Times New Roman" w:hAnsi="Arial" w:cs="Arial"/>
          <w:sz w:val="18"/>
          <w:szCs w:val="18"/>
          <w:lang w:val="en-US" w:eastAsia="pt-BR"/>
        </w:rPr>
        <w:t xml:space="preserve">Keywords: </w:t>
      </w:r>
      <w:r w:rsidRPr="00020A6E">
        <w:rPr>
          <w:rFonts w:ascii="Arial" w:hAnsi="Arial" w:cs="Arial"/>
          <w:i/>
          <w:sz w:val="18"/>
          <w:szCs w:val="18"/>
          <w:lang w:val="en-US"/>
        </w:rPr>
        <w:t>Ora-pro-nobis</w:t>
      </w:r>
      <w:r w:rsidRPr="00020A6E">
        <w:rPr>
          <w:rFonts w:ascii="Arial" w:hAnsi="Arial" w:cs="Arial"/>
          <w:sz w:val="18"/>
          <w:szCs w:val="18"/>
          <w:lang w:val="en-US"/>
        </w:rPr>
        <w:t xml:space="preserve">, </w:t>
      </w:r>
      <w:r w:rsidRPr="00020A6E">
        <w:rPr>
          <w:rFonts w:ascii="Arial" w:hAnsi="Arial" w:cs="Arial"/>
          <w:i/>
          <w:sz w:val="18"/>
          <w:szCs w:val="18"/>
          <w:lang w:val="en-US"/>
        </w:rPr>
        <w:t>Natural products, Oxidative stress, Antioxidants, L-NAME; indomethacin.</w:t>
      </w:r>
    </w:p>
    <w:p w14:paraId="50C6A5C0" w14:textId="7E436A90" w:rsidR="00020A6E" w:rsidRPr="00020A6E" w:rsidRDefault="00020A6E" w:rsidP="00020A6E">
      <w:pPr>
        <w:pBdr>
          <w:top w:val="nil"/>
          <w:left w:val="nil"/>
          <w:bottom w:val="nil"/>
          <w:right w:val="nil"/>
          <w:between w:val="nil"/>
        </w:pBdr>
        <w:ind w:left="2"/>
        <w:jc w:val="both"/>
        <w:rPr>
          <w:rFonts w:ascii="Arial" w:hAnsi="Arial" w:cs="Arial"/>
          <w:color w:val="000000"/>
          <w:sz w:val="20"/>
          <w:szCs w:val="20"/>
        </w:rPr>
      </w:pPr>
      <w:proofErr w:type="spellStart"/>
      <w:r w:rsidRPr="000C2BE9">
        <w:rPr>
          <w:rFonts w:ascii="Arial" w:eastAsia="Times New Roman" w:hAnsi="Arial" w:cs="Arial"/>
          <w:sz w:val="20"/>
          <w:szCs w:val="20"/>
          <w:lang w:eastAsia="pt-BR"/>
        </w:rPr>
        <w:t>Acknowledgments</w:t>
      </w:r>
      <w:proofErr w:type="spellEnd"/>
      <w:r w:rsidRPr="000C2BE9">
        <w:rPr>
          <w:rFonts w:ascii="Arial" w:eastAsia="Times New Roman" w:hAnsi="Arial" w:cs="Arial"/>
          <w:sz w:val="20"/>
          <w:szCs w:val="20"/>
          <w:lang w:eastAsia="pt-BR"/>
        </w:rPr>
        <w:t xml:space="preserve">: </w:t>
      </w:r>
      <w:r w:rsidRPr="00020A6E">
        <w:rPr>
          <w:rFonts w:ascii="Arial" w:eastAsia="Arial" w:hAnsi="Arial" w:cs="Arial"/>
          <w:color w:val="000000"/>
          <w:sz w:val="20"/>
          <w:szCs w:val="20"/>
        </w:rPr>
        <w:t xml:space="preserve">FAPESP, CAPES, CNPq, </w:t>
      </w:r>
      <w:r w:rsidRPr="00020A6E">
        <w:rPr>
          <w:rFonts w:ascii="Arial" w:hAnsi="Arial" w:cs="Arial"/>
          <w:sz w:val="20"/>
          <w:szCs w:val="20"/>
        </w:rPr>
        <w:t>Laboratório de Fisiologia e Farmacologia</w:t>
      </w:r>
      <w:r w:rsidRPr="00020A6E">
        <w:rPr>
          <w:rFonts w:ascii="Arial" w:eastAsia="Arial" w:hAnsi="Arial" w:cs="Arial"/>
          <w:color w:val="000000"/>
          <w:sz w:val="20"/>
          <w:szCs w:val="20"/>
        </w:rPr>
        <w:t>.</w:t>
      </w:r>
    </w:p>
    <w:p w14:paraId="1938E9E6" w14:textId="29582A0F" w:rsidR="00020A6E" w:rsidRPr="006D211D" w:rsidRDefault="00020A6E" w:rsidP="006D211D">
      <w:pPr>
        <w:pStyle w:val="Ttulo1"/>
        <w:rPr>
          <w:rFonts w:ascii="Arial" w:eastAsia="Times New Roman" w:hAnsi="Arial" w:cs="Arial"/>
          <w:b/>
          <w:bCs/>
          <w:color w:val="auto"/>
          <w:sz w:val="28"/>
          <w:szCs w:val="28"/>
          <w:lang w:val="en-US" w:eastAsia="pt-BR"/>
        </w:rPr>
      </w:pPr>
      <w:bookmarkStart w:id="17" w:name="_Toc211954573"/>
      <w:r w:rsidRPr="006D211D">
        <w:rPr>
          <w:rFonts w:ascii="Arial" w:eastAsia="Times New Roman" w:hAnsi="Arial" w:cs="Arial"/>
          <w:b/>
          <w:bCs/>
          <w:color w:val="auto"/>
          <w:sz w:val="28"/>
          <w:szCs w:val="28"/>
          <w:lang w:val="en-US" w:eastAsia="pt-BR"/>
        </w:rPr>
        <w:lastRenderedPageBreak/>
        <w:t xml:space="preserve">Synergy Between </w:t>
      </w:r>
      <w:r w:rsidRPr="006D211D">
        <w:rPr>
          <w:rFonts w:ascii="Arial" w:eastAsia="Times New Roman" w:hAnsi="Arial" w:cs="Arial"/>
          <w:b/>
          <w:bCs/>
          <w:i/>
          <w:iCs/>
          <w:color w:val="auto"/>
          <w:sz w:val="28"/>
          <w:szCs w:val="28"/>
          <w:lang w:val="en-US" w:eastAsia="pt-BR"/>
        </w:rPr>
        <w:t>S. Indica</w:t>
      </w:r>
      <w:r w:rsidRPr="006D211D">
        <w:rPr>
          <w:rFonts w:ascii="Arial" w:eastAsia="Times New Roman" w:hAnsi="Arial" w:cs="Arial"/>
          <w:b/>
          <w:bCs/>
          <w:color w:val="auto"/>
          <w:sz w:val="28"/>
          <w:szCs w:val="28"/>
          <w:lang w:val="en-US" w:eastAsia="pt-BR"/>
        </w:rPr>
        <w:t xml:space="preserve"> and </w:t>
      </w:r>
      <w:r w:rsidRPr="006D211D">
        <w:rPr>
          <w:rFonts w:ascii="Arial" w:eastAsia="Times New Roman" w:hAnsi="Arial" w:cs="Arial"/>
          <w:b/>
          <w:bCs/>
          <w:i/>
          <w:iCs/>
          <w:color w:val="auto"/>
          <w:sz w:val="28"/>
          <w:szCs w:val="28"/>
          <w:lang w:val="en-US" w:eastAsia="pt-BR"/>
        </w:rPr>
        <w:t xml:space="preserve">H. </w:t>
      </w:r>
      <w:proofErr w:type="spellStart"/>
      <w:r w:rsidRPr="006D211D">
        <w:rPr>
          <w:rFonts w:ascii="Arial" w:eastAsia="Times New Roman" w:hAnsi="Arial" w:cs="Arial"/>
          <w:b/>
          <w:bCs/>
          <w:i/>
          <w:iCs/>
          <w:color w:val="auto"/>
          <w:sz w:val="28"/>
          <w:szCs w:val="28"/>
          <w:lang w:val="en-US" w:eastAsia="pt-BR"/>
        </w:rPr>
        <w:t>Seropedicae</w:t>
      </w:r>
      <w:proofErr w:type="spellEnd"/>
      <w:r w:rsidRPr="006D211D">
        <w:rPr>
          <w:rFonts w:ascii="Arial" w:eastAsia="Times New Roman" w:hAnsi="Arial" w:cs="Arial"/>
          <w:b/>
          <w:bCs/>
          <w:color w:val="auto"/>
          <w:sz w:val="28"/>
          <w:szCs w:val="28"/>
          <w:lang w:val="en-US" w:eastAsia="pt-BR"/>
        </w:rPr>
        <w:t xml:space="preserve"> in Corn Development: Impact of Formulation and Temperature on Consortium Stability</w:t>
      </w:r>
      <w:bookmarkEnd w:id="17"/>
    </w:p>
    <w:p w14:paraId="2440D4D7" w14:textId="7B829DEA" w:rsidR="00020A6E" w:rsidRPr="00020A6E" w:rsidRDefault="00020A6E" w:rsidP="00020A6E">
      <w:pPr>
        <w:spacing w:before="100" w:beforeAutospacing="1" w:after="100" w:afterAutospacing="1" w:line="240" w:lineRule="auto"/>
        <w:jc w:val="both"/>
        <w:rPr>
          <w:rFonts w:ascii="Arial" w:eastAsia="Times New Roman" w:hAnsi="Arial" w:cs="Arial"/>
          <w:sz w:val="20"/>
          <w:szCs w:val="20"/>
          <w:lang w:eastAsia="pt-BR"/>
        </w:rPr>
      </w:pPr>
      <w:r w:rsidRPr="00020A6E">
        <w:rPr>
          <w:rFonts w:ascii="Arial" w:eastAsia="Times New Roman" w:hAnsi="Arial" w:cs="Arial"/>
          <w:b/>
          <w:bCs/>
          <w:sz w:val="20"/>
          <w:szCs w:val="20"/>
          <w:lang w:eastAsia="pt-BR"/>
        </w:rPr>
        <w:t>Felipe Barros da Silva¹</w:t>
      </w:r>
      <w:r>
        <w:rPr>
          <w:rFonts w:ascii="Arial" w:eastAsia="Times New Roman" w:hAnsi="Arial" w:cs="Arial"/>
          <w:b/>
          <w:bCs/>
          <w:sz w:val="20"/>
          <w:szCs w:val="20"/>
          <w:lang w:eastAsia="pt-BR"/>
        </w:rPr>
        <w:t>*</w:t>
      </w:r>
      <w:r w:rsidRPr="00020A6E">
        <w:rPr>
          <w:rFonts w:ascii="Arial" w:eastAsia="Times New Roman" w:hAnsi="Arial" w:cs="Arial"/>
          <w:b/>
          <w:bCs/>
          <w:sz w:val="20"/>
          <w:szCs w:val="20"/>
          <w:lang w:eastAsia="pt-BR"/>
        </w:rPr>
        <w:t xml:space="preserve">; Flávio Alves da Silva²; Elaine Cruz de Jesus³; Lyvia de Moraes Lobato⁴; Amanda Azevedo </w:t>
      </w:r>
      <w:proofErr w:type="spellStart"/>
      <w:r w:rsidRPr="00020A6E">
        <w:rPr>
          <w:rFonts w:ascii="Arial" w:eastAsia="Times New Roman" w:hAnsi="Arial" w:cs="Arial"/>
          <w:b/>
          <w:bCs/>
          <w:sz w:val="20"/>
          <w:szCs w:val="20"/>
          <w:lang w:eastAsia="pt-BR"/>
        </w:rPr>
        <w:t>Bertolazi</w:t>
      </w:r>
      <w:proofErr w:type="spellEnd"/>
      <w:r w:rsidRPr="00020A6E">
        <w:rPr>
          <w:rFonts w:ascii="Arial" w:eastAsia="Times New Roman" w:hAnsi="Arial" w:cs="Arial"/>
          <w:b/>
          <w:bCs/>
          <w:sz w:val="20"/>
          <w:szCs w:val="20"/>
          <w:lang w:eastAsia="pt-BR"/>
        </w:rPr>
        <w:t>⁵; Alessandro Coutinho Ramos¹</w:t>
      </w:r>
      <w:r>
        <w:rPr>
          <w:rFonts w:ascii="Arial" w:eastAsia="Times New Roman" w:hAnsi="Arial" w:cs="Arial"/>
          <w:b/>
          <w:bCs/>
          <w:sz w:val="20"/>
          <w:szCs w:val="20"/>
          <w:lang w:eastAsia="pt-BR"/>
        </w:rPr>
        <w:t>.</w:t>
      </w:r>
    </w:p>
    <w:p w14:paraId="25EBEB5A" w14:textId="0B3104EC" w:rsidR="00020A6E" w:rsidRPr="00020A6E" w:rsidRDefault="00020A6E" w:rsidP="00020A6E">
      <w:pPr>
        <w:spacing w:before="100" w:beforeAutospacing="1" w:after="100" w:afterAutospacing="1" w:line="240" w:lineRule="auto"/>
        <w:jc w:val="both"/>
        <w:rPr>
          <w:rFonts w:ascii="Arial" w:eastAsia="Times New Roman" w:hAnsi="Arial" w:cs="Arial"/>
          <w:sz w:val="20"/>
          <w:szCs w:val="20"/>
          <w:lang w:eastAsia="pt-BR"/>
        </w:rPr>
      </w:pPr>
      <w:r>
        <w:rPr>
          <w:rFonts w:ascii="Arial" w:eastAsia="Times New Roman" w:hAnsi="Arial" w:cs="Arial"/>
          <w:i/>
          <w:iCs/>
          <w:sz w:val="20"/>
          <w:szCs w:val="20"/>
          <w:lang w:eastAsia="pt-BR"/>
        </w:rPr>
        <w:t>*</w:t>
      </w:r>
      <w:r w:rsidRPr="00020A6E">
        <w:rPr>
          <w:rFonts w:ascii="Arial" w:eastAsia="Times New Roman" w:hAnsi="Arial" w:cs="Arial"/>
          <w:i/>
          <w:iCs/>
          <w:sz w:val="20"/>
          <w:szCs w:val="20"/>
          <w:lang w:eastAsia="pt-BR"/>
        </w:rPr>
        <w:t>felipepesquisa12@gmail.com</w:t>
      </w:r>
    </w:p>
    <w:p w14:paraId="2322E69A" w14:textId="16279BC5" w:rsidR="00020A6E" w:rsidRPr="00020A6E" w:rsidRDefault="00020A6E" w:rsidP="00020A6E">
      <w:pPr>
        <w:spacing w:before="100" w:beforeAutospacing="1" w:after="100" w:afterAutospacing="1" w:line="240" w:lineRule="auto"/>
        <w:jc w:val="both"/>
        <w:rPr>
          <w:rFonts w:ascii="Arial" w:eastAsia="Times New Roman" w:hAnsi="Arial" w:cs="Arial"/>
          <w:i/>
          <w:iCs/>
          <w:sz w:val="18"/>
          <w:szCs w:val="18"/>
          <w:lang w:eastAsia="pt-BR"/>
        </w:rPr>
      </w:pPr>
      <w:r w:rsidRPr="00020A6E">
        <w:rPr>
          <w:rFonts w:ascii="Arial" w:eastAsia="Times New Roman" w:hAnsi="Arial" w:cs="Arial"/>
          <w:i/>
          <w:iCs/>
          <w:sz w:val="18"/>
          <w:szCs w:val="18"/>
          <w:lang w:eastAsia="pt-BR"/>
        </w:rPr>
        <w:t>¹Universidade de Vila Velha (UVV), Vila Velha, ES, Brasil.</w:t>
      </w:r>
    </w:p>
    <w:p w14:paraId="3B595C37" w14:textId="2AD654DE" w:rsidR="00020A6E" w:rsidRPr="00020A6E" w:rsidRDefault="00020A6E" w:rsidP="00020A6E">
      <w:pPr>
        <w:spacing w:before="100" w:beforeAutospacing="1" w:after="100" w:afterAutospacing="1" w:line="240" w:lineRule="auto"/>
        <w:jc w:val="both"/>
        <w:rPr>
          <w:rFonts w:ascii="Arial" w:eastAsia="Times New Roman" w:hAnsi="Arial" w:cs="Arial"/>
          <w:sz w:val="18"/>
          <w:szCs w:val="18"/>
          <w:lang w:val="en-US" w:eastAsia="pt-BR"/>
        </w:rPr>
      </w:pPr>
      <w:r w:rsidRPr="009E6ED0">
        <w:rPr>
          <w:rFonts w:ascii="Arial" w:eastAsia="Times New Roman" w:hAnsi="Arial" w:cs="Arial"/>
          <w:b/>
          <w:bCs/>
          <w:sz w:val="18"/>
          <w:szCs w:val="18"/>
          <w:lang w:val="en-US" w:eastAsia="pt-BR"/>
        </w:rPr>
        <w:t>Thematic Session:</w:t>
      </w:r>
      <w:r w:rsidRPr="009E6ED0">
        <w:rPr>
          <w:rFonts w:ascii="Arial" w:eastAsia="Times New Roman" w:hAnsi="Arial" w:cs="Arial"/>
          <w:sz w:val="18"/>
          <w:szCs w:val="18"/>
          <w:lang w:val="en-US" w:eastAsia="pt-BR"/>
        </w:rPr>
        <w:t xml:space="preserve"> Natural Products: Chemical, Biological, and Application Aspects.</w:t>
      </w:r>
    </w:p>
    <w:p w14:paraId="4AD60FA2" w14:textId="5CF10EF8" w:rsidR="00020A6E" w:rsidRPr="00020A6E" w:rsidRDefault="00020A6E" w:rsidP="00020A6E">
      <w:pPr>
        <w:spacing w:before="100" w:beforeAutospacing="1" w:after="100" w:afterAutospacing="1" w:line="240" w:lineRule="auto"/>
        <w:jc w:val="both"/>
        <w:rPr>
          <w:rFonts w:ascii="Arial" w:eastAsia="Times New Roman" w:hAnsi="Arial" w:cs="Arial"/>
          <w:sz w:val="20"/>
          <w:szCs w:val="20"/>
          <w:lang w:val="en-US" w:eastAsia="pt-BR"/>
        </w:rPr>
      </w:pPr>
      <w:r w:rsidRPr="00020A6E">
        <w:rPr>
          <w:rFonts w:ascii="Arial" w:eastAsia="Times New Roman" w:hAnsi="Arial" w:cs="Arial"/>
          <w:b/>
          <w:bCs/>
          <w:sz w:val="20"/>
          <w:szCs w:val="20"/>
          <w:lang w:val="en-US" w:eastAsia="pt-BR"/>
        </w:rPr>
        <w:t>INTRODUCTION:</w:t>
      </w:r>
      <w:r w:rsidRPr="00020A6E">
        <w:rPr>
          <w:rFonts w:ascii="Arial" w:eastAsia="Times New Roman" w:hAnsi="Arial" w:cs="Arial"/>
          <w:sz w:val="20"/>
          <w:szCs w:val="20"/>
          <w:lang w:val="en-US" w:eastAsia="pt-BR"/>
        </w:rPr>
        <w:t xml:space="preserve"> The continued growth of the global population presents challenges to the agricultural industry in meeting global food demand, intensifying dependence on chemical fertilizers. This dependence exacerbates problems both environmentally, due to soil degradation and water contamination, and economically, due to constantly rising prices. As an alternative, microbiologically based biofertilizers offer benefits similar to conventional fertilizers but with lower costs and environmental impacts. However, these products present implementation challenges, including their short shelf life compared to conventional fertilizers, which affects their performance in the field. </w:t>
      </w:r>
      <w:r w:rsidRPr="00020A6E">
        <w:rPr>
          <w:rFonts w:ascii="Arial" w:eastAsia="Times New Roman" w:hAnsi="Arial" w:cs="Arial"/>
          <w:b/>
          <w:bCs/>
          <w:sz w:val="20"/>
          <w:szCs w:val="20"/>
          <w:lang w:val="en-US" w:eastAsia="pt-BR"/>
        </w:rPr>
        <w:t>OBJECTIVE:</w:t>
      </w:r>
      <w:r w:rsidRPr="00020A6E">
        <w:rPr>
          <w:rFonts w:ascii="Arial" w:eastAsia="Times New Roman" w:hAnsi="Arial" w:cs="Arial"/>
          <w:sz w:val="20"/>
          <w:szCs w:val="20"/>
          <w:lang w:val="en-US" w:eastAsia="pt-BR"/>
        </w:rPr>
        <w:t xml:space="preserve"> To develop and evaluate different formulations of a biofertilizer based on a consortium between the bacterium </w:t>
      </w:r>
      <w:proofErr w:type="spellStart"/>
      <w:r w:rsidRPr="00020A6E">
        <w:rPr>
          <w:rFonts w:ascii="Arial" w:eastAsia="Times New Roman" w:hAnsi="Arial" w:cs="Arial"/>
          <w:i/>
          <w:iCs/>
          <w:sz w:val="20"/>
          <w:szCs w:val="20"/>
          <w:lang w:val="en-US" w:eastAsia="pt-BR"/>
        </w:rPr>
        <w:t>Herbaspirillum</w:t>
      </w:r>
      <w:proofErr w:type="spellEnd"/>
      <w:r w:rsidRPr="00020A6E">
        <w:rPr>
          <w:rFonts w:ascii="Arial" w:eastAsia="Times New Roman" w:hAnsi="Arial" w:cs="Arial"/>
          <w:i/>
          <w:iCs/>
          <w:sz w:val="20"/>
          <w:szCs w:val="20"/>
          <w:lang w:val="en-US" w:eastAsia="pt-BR"/>
        </w:rPr>
        <w:t xml:space="preserve"> </w:t>
      </w:r>
      <w:proofErr w:type="spellStart"/>
      <w:r w:rsidRPr="00020A6E">
        <w:rPr>
          <w:rFonts w:ascii="Arial" w:eastAsia="Times New Roman" w:hAnsi="Arial" w:cs="Arial"/>
          <w:i/>
          <w:iCs/>
          <w:sz w:val="20"/>
          <w:szCs w:val="20"/>
          <w:lang w:val="en-US" w:eastAsia="pt-BR"/>
        </w:rPr>
        <w:t>seropedicae</w:t>
      </w:r>
      <w:proofErr w:type="spellEnd"/>
      <w:r w:rsidRPr="00020A6E">
        <w:rPr>
          <w:rFonts w:ascii="Arial" w:eastAsia="Times New Roman" w:hAnsi="Arial" w:cs="Arial"/>
          <w:sz w:val="20"/>
          <w:szCs w:val="20"/>
          <w:lang w:val="en-US" w:eastAsia="pt-BR"/>
        </w:rPr>
        <w:t xml:space="preserve"> and the fungus </w:t>
      </w:r>
      <w:proofErr w:type="spellStart"/>
      <w:r w:rsidRPr="00020A6E">
        <w:rPr>
          <w:rFonts w:ascii="Arial" w:eastAsia="Times New Roman" w:hAnsi="Arial" w:cs="Arial"/>
          <w:i/>
          <w:iCs/>
          <w:sz w:val="20"/>
          <w:szCs w:val="20"/>
          <w:lang w:val="en-US" w:eastAsia="pt-BR"/>
        </w:rPr>
        <w:t>Serendipita</w:t>
      </w:r>
      <w:proofErr w:type="spellEnd"/>
      <w:r w:rsidRPr="00020A6E">
        <w:rPr>
          <w:rFonts w:ascii="Arial" w:eastAsia="Times New Roman" w:hAnsi="Arial" w:cs="Arial"/>
          <w:i/>
          <w:iCs/>
          <w:sz w:val="20"/>
          <w:szCs w:val="20"/>
          <w:lang w:val="en-US" w:eastAsia="pt-BR"/>
        </w:rPr>
        <w:t xml:space="preserve"> indica</w:t>
      </w:r>
      <w:r w:rsidRPr="00020A6E">
        <w:rPr>
          <w:rFonts w:ascii="Arial" w:eastAsia="Times New Roman" w:hAnsi="Arial" w:cs="Arial"/>
          <w:sz w:val="20"/>
          <w:szCs w:val="20"/>
          <w:lang w:val="en-US" w:eastAsia="pt-BR"/>
        </w:rPr>
        <w:t xml:space="preserve">, testing the effect of different storage temperatures on microbial viability and their efficiency in promoting the growth of </w:t>
      </w:r>
      <w:r w:rsidRPr="00020A6E">
        <w:rPr>
          <w:rFonts w:ascii="Arial" w:eastAsia="Times New Roman" w:hAnsi="Arial" w:cs="Arial"/>
          <w:i/>
          <w:iCs/>
          <w:sz w:val="20"/>
          <w:szCs w:val="20"/>
          <w:lang w:val="en-US" w:eastAsia="pt-BR"/>
        </w:rPr>
        <w:t>Zea mays</w:t>
      </w:r>
      <w:r w:rsidRPr="00020A6E">
        <w:rPr>
          <w:rFonts w:ascii="Arial" w:eastAsia="Times New Roman" w:hAnsi="Arial" w:cs="Arial"/>
          <w:sz w:val="20"/>
          <w:szCs w:val="20"/>
          <w:lang w:val="en-US" w:eastAsia="pt-BR"/>
        </w:rPr>
        <w:t xml:space="preserve"> (corn) plants over a six-month period. </w:t>
      </w:r>
      <w:r w:rsidRPr="00020A6E">
        <w:rPr>
          <w:rFonts w:ascii="Arial" w:eastAsia="Times New Roman" w:hAnsi="Arial" w:cs="Arial"/>
          <w:b/>
          <w:bCs/>
          <w:sz w:val="20"/>
          <w:szCs w:val="20"/>
          <w:lang w:val="en-US" w:eastAsia="pt-BR"/>
        </w:rPr>
        <w:t>METHODOLOGY:</w:t>
      </w:r>
      <w:r w:rsidRPr="00020A6E">
        <w:rPr>
          <w:rFonts w:ascii="Arial" w:eastAsia="Times New Roman" w:hAnsi="Arial" w:cs="Arial"/>
          <w:sz w:val="20"/>
          <w:szCs w:val="20"/>
          <w:lang w:val="en-US" w:eastAsia="pt-BR"/>
        </w:rPr>
        <w:t xml:space="preserve"> The microbial consortium was inoculated with two formulations containing different adjuvants: Formulation 1 (polyvinylpyrrolidone + glycerol) and Formulation 2 (gum </w:t>
      </w:r>
      <w:proofErr w:type="spellStart"/>
      <w:r w:rsidRPr="00020A6E">
        <w:rPr>
          <w:rFonts w:ascii="Arial" w:eastAsia="Times New Roman" w:hAnsi="Arial" w:cs="Arial"/>
          <w:sz w:val="20"/>
          <w:szCs w:val="20"/>
          <w:lang w:val="en-US" w:eastAsia="pt-BR"/>
        </w:rPr>
        <w:t>arabic</w:t>
      </w:r>
      <w:proofErr w:type="spellEnd"/>
      <w:r w:rsidRPr="00020A6E">
        <w:rPr>
          <w:rFonts w:ascii="Arial" w:eastAsia="Times New Roman" w:hAnsi="Arial" w:cs="Arial"/>
          <w:sz w:val="20"/>
          <w:szCs w:val="20"/>
          <w:lang w:val="en-US" w:eastAsia="pt-BR"/>
        </w:rPr>
        <w:t xml:space="preserve"> + glycerol). The formulations, along with a control (inoculum without adjuvants), were stored at different temperatures: room temperature (25 °C) and refrigeration (4 °C). Microorganism viability was assessed monthly by counting colony-forming units (CFU/g). Concurrently, monthly tests were performed on corn seeds inoculated with the stored formulations to evaluate the effects of the biofertilizer on plant morphological parameters. </w:t>
      </w:r>
      <w:r w:rsidRPr="00020A6E">
        <w:rPr>
          <w:rFonts w:ascii="Arial" w:eastAsia="Times New Roman" w:hAnsi="Arial" w:cs="Arial"/>
          <w:b/>
          <w:bCs/>
          <w:sz w:val="20"/>
          <w:szCs w:val="20"/>
          <w:lang w:val="en-US" w:eastAsia="pt-BR"/>
        </w:rPr>
        <w:t>RESULTS AND DISCUSSION:</w:t>
      </w:r>
      <w:r w:rsidRPr="00020A6E">
        <w:rPr>
          <w:rFonts w:ascii="Arial" w:eastAsia="Times New Roman" w:hAnsi="Arial" w:cs="Arial"/>
          <w:sz w:val="20"/>
          <w:szCs w:val="20"/>
          <w:lang w:val="en-US" w:eastAsia="pt-BR"/>
        </w:rPr>
        <w:t xml:space="preserve"> Storage temperatures directly influenced microbial viability. The bacterium </w:t>
      </w:r>
      <w:r w:rsidRPr="00020A6E">
        <w:rPr>
          <w:rFonts w:ascii="Arial" w:eastAsia="Times New Roman" w:hAnsi="Arial" w:cs="Arial"/>
          <w:i/>
          <w:iCs/>
          <w:sz w:val="20"/>
          <w:szCs w:val="20"/>
          <w:lang w:val="en-US" w:eastAsia="pt-BR"/>
        </w:rPr>
        <w:t xml:space="preserve">H. </w:t>
      </w:r>
      <w:proofErr w:type="spellStart"/>
      <w:r w:rsidRPr="00020A6E">
        <w:rPr>
          <w:rFonts w:ascii="Arial" w:eastAsia="Times New Roman" w:hAnsi="Arial" w:cs="Arial"/>
          <w:i/>
          <w:iCs/>
          <w:sz w:val="20"/>
          <w:szCs w:val="20"/>
          <w:lang w:val="en-US" w:eastAsia="pt-BR"/>
        </w:rPr>
        <w:t>seropedicae</w:t>
      </w:r>
      <w:proofErr w:type="spellEnd"/>
      <w:r w:rsidRPr="00020A6E">
        <w:rPr>
          <w:rFonts w:ascii="Arial" w:eastAsia="Times New Roman" w:hAnsi="Arial" w:cs="Arial"/>
          <w:sz w:val="20"/>
          <w:szCs w:val="20"/>
          <w:lang w:val="en-US" w:eastAsia="pt-BR"/>
        </w:rPr>
        <w:t xml:space="preserve"> showed greater stability at room temperature, while the fungus </w:t>
      </w:r>
      <w:r w:rsidRPr="00020A6E">
        <w:rPr>
          <w:rFonts w:ascii="Arial" w:eastAsia="Times New Roman" w:hAnsi="Arial" w:cs="Arial"/>
          <w:i/>
          <w:iCs/>
          <w:sz w:val="20"/>
          <w:szCs w:val="20"/>
          <w:lang w:val="en-US" w:eastAsia="pt-BR"/>
        </w:rPr>
        <w:t>S. indica</w:t>
      </w:r>
      <w:r w:rsidRPr="00020A6E">
        <w:rPr>
          <w:rFonts w:ascii="Arial" w:eastAsia="Times New Roman" w:hAnsi="Arial" w:cs="Arial"/>
          <w:sz w:val="20"/>
          <w:szCs w:val="20"/>
          <w:lang w:val="en-US" w:eastAsia="pt-BR"/>
        </w:rPr>
        <w:t xml:space="preserve"> had higher CFU counts under refrigeration. The formulations yielded distinct results: Formulation 1 (25 °C) excelled in maintaining bacterial viability and promoting improved aerial plant development, while Formulation 2 (4 °C) proved most effective for maintaining both microorganisms and stimulating root system development (weight and length) and plant height. These data suggest that the synergistic interaction between the microorganisms was crucial for enhancing seedling morphological parameters. </w:t>
      </w:r>
      <w:r w:rsidRPr="00020A6E">
        <w:rPr>
          <w:rFonts w:ascii="Arial" w:eastAsia="Times New Roman" w:hAnsi="Arial" w:cs="Arial"/>
          <w:b/>
          <w:bCs/>
          <w:sz w:val="20"/>
          <w:szCs w:val="20"/>
          <w:lang w:val="en-US" w:eastAsia="pt-BR"/>
        </w:rPr>
        <w:t>CONCLUSIONS:</w:t>
      </w:r>
      <w:r w:rsidRPr="00020A6E">
        <w:rPr>
          <w:rFonts w:ascii="Arial" w:eastAsia="Times New Roman" w:hAnsi="Arial" w:cs="Arial"/>
          <w:sz w:val="20"/>
          <w:szCs w:val="20"/>
          <w:lang w:val="en-US" w:eastAsia="pt-BR"/>
        </w:rPr>
        <w:t xml:space="preserve"> Both formulations proved efficient and commercially viable. Formulation 1 is an excellent solution for storing microorganisms at room temperature, while Formulation 2 is the most effective alternative under refrigeration, demonstrating its ability to maintain the viability of both microorganisms. The choice between the formulations should depend on the grower’s storage logistics and objectives. This work represents a breakthrough in developing more effective and adaptable </w:t>
      </w:r>
      <w:proofErr w:type="spellStart"/>
      <w:r w:rsidRPr="00020A6E">
        <w:rPr>
          <w:rFonts w:ascii="Arial" w:eastAsia="Times New Roman" w:hAnsi="Arial" w:cs="Arial"/>
          <w:sz w:val="20"/>
          <w:szCs w:val="20"/>
          <w:lang w:val="en-US" w:eastAsia="pt-BR"/>
        </w:rPr>
        <w:t>bioinputs</w:t>
      </w:r>
      <w:proofErr w:type="spellEnd"/>
      <w:r w:rsidRPr="00020A6E">
        <w:rPr>
          <w:rFonts w:ascii="Arial" w:eastAsia="Times New Roman" w:hAnsi="Arial" w:cs="Arial"/>
          <w:sz w:val="20"/>
          <w:szCs w:val="20"/>
          <w:lang w:val="en-US" w:eastAsia="pt-BR"/>
        </w:rPr>
        <w:t xml:space="preserve"> for global agriculture.</w:t>
      </w:r>
    </w:p>
    <w:p w14:paraId="7432D9DF" w14:textId="15213FB4" w:rsidR="00020A6E" w:rsidRPr="00020A6E" w:rsidRDefault="00020A6E" w:rsidP="00020A6E">
      <w:pPr>
        <w:spacing w:before="100" w:beforeAutospacing="1" w:after="100" w:afterAutospacing="1" w:line="240" w:lineRule="auto"/>
        <w:jc w:val="both"/>
        <w:rPr>
          <w:rFonts w:ascii="Arial" w:eastAsia="Times New Roman" w:hAnsi="Arial" w:cs="Arial"/>
          <w:sz w:val="18"/>
          <w:szCs w:val="18"/>
          <w:lang w:val="en-US" w:eastAsia="pt-BR"/>
        </w:rPr>
      </w:pPr>
      <w:r w:rsidRPr="00020A6E">
        <w:rPr>
          <w:rFonts w:ascii="Arial" w:eastAsia="Times New Roman" w:hAnsi="Arial" w:cs="Arial"/>
          <w:sz w:val="18"/>
          <w:szCs w:val="18"/>
          <w:lang w:val="en-US" w:eastAsia="pt-BR"/>
        </w:rPr>
        <w:t xml:space="preserve">Keywords: </w:t>
      </w:r>
      <w:r w:rsidRPr="00020A6E">
        <w:rPr>
          <w:rFonts w:ascii="Arial" w:eastAsia="Times New Roman" w:hAnsi="Arial" w:cs="Arial"/>
          <w:i/>
          <w:iCs/>
          <w:sz w:val="18"/>
          <w:szCs w:val="18"/>
          <w:lang w:val="en-US" w:eastAsia="pt-BR"/>
        </w:rPr>
        <w:t xml:space="preserve">Biotechnology; Agriculture; Shelf </w:t>
      </w:r>
      <w:r>
        <w:rPr>
          <w:rFonts w:ascii="Arial" w:eastAsia="Times New Roman" w:hAnsi="Arial" w:cs="Arial"/>
          <w:i/>
          <w:iCs/>
          <w:sz w:val="18"/>
          <w:szCs w:val="18"/>
          <w:lang w:val="en-US" w:eastAsia="pt-BR"/>
        </w:rPr>
        <w:t>l</w:t>
      </w:r>
      <w:r w:rsidRPr="00020A6E">
        <w:rPr>
          <w:rFonts w:ascii="Arial" w:eastAsia="Times New Roman" w:hAnsi="Arial" w:cs="Arial"/>
          <w:i/>
          <w:iCs/>
          <w:sz w:val="18"/>
          <w:szCs w:val="18"/>
          <w:lang w:val="en-US" w:eastAsia="pt-BR"/>
        </w:rPr>
        <w:t>ife; Biofertilizer; Consortium.</w:t>
      </w:r>
    </w:p>
    <w:p w14:paraId="5DDD2696" w14:textId="77777777" w:rsidR="00020A6E" w:rsidRPr="00020A6E" w:rsidRDefault="00020A6E" w:rsidP="00020A6E">
      <w:pPr>
        <w:spacing w:before="100" w:beforeAutospacing="1" w:after="100" w:afterAutospacing="1" w:line="240" w:lineRule="auto"/>
        <w:jc w:val="both"/>
        <w:rPr>
          <w:rFonts w:ascii="Arial" w:eastAsia="Times New Roman" w:hAnsi="Arial" w:cs="Arial"/>
          <w:sz w:val="20"/>
          <w:szCs w:val="20"/>
          <w:lang w:eastAsia="pt-BR"/>
        </w:rPr>
      </w:pPr>
      <w:proofErr w:type="spellStart"/>
      <w:r w:rsidRPr="00020A6E">
        <w:rPr>
          <w:rFonts w:ascii="Arial" w:eastAsia="Times New Roman" w:hAnsi="Arial" w:cs="Arial"/>
          <w:sz w:val="20"/>
          <w:szCs w:val="20"/>
          <w:lang w:eastAsia="pt-BR"/>
        </w:rPr>
        <w:t>Acknowledgments</w:t>
      </w:r>
      <w:proofErr w:type="spellEnd"/>
      <w:r w:rsidRPr="00020A6E">
        <w:rPr>
          <w:rFonts w:ascii="Arial" w:eastAsia="Times New Roman" w:hAnsi="Arial" w:cs="Arial"/>
          <w:sz w:val="20"/>
          <w:szCs w:val="20"/>
          <w:lang w:eastAsia="pt-BR"/>
        </w:rPr>
        <w:t xml:space="preserve">: FAPES, UVV, </w:t>
      </w:r>
      <w:proofErr w:type="spellStart"/>
      <w:r w:rsidRPr="00020A6E">
        <w:rPr>
          <w:rFonts w:ascii="Arial" w:eastAsia="Times New Roman" w:hAnsi="Arial" w:cs="Arial"/>
          <w:sz w:val="20"/>
          <w:szCs w:val="20"/>
          <w:lang w:eastAsia="pt-BR"/>
        </w:rPr>
        <w:t>Symbiotech</w:t>
      </w:r>
      <w:proofErr w:type="spellEnd"/>
      <w:r w:rsidRPr="00020A6E">
        <w:rPr>
          <w:rFonts w:ascii="Arial" w:eastAsia="Times New Roman" w:hAnsi="Arial" w:cs="Arial"/>
          <w:sz w:val="20"/>
          <w:szCs w:val="20"/>
          <w:lang w:eastAsia="pt-BR"/>
        </w:rPr>
        <w:t>.</w:t>
      </w:r>
    </w:p>
    <w:p w14:paraId="13D2302C" w14:textId="77777777" w:rsidR="00020A6E" w:rsidRPr="00020A6E" w:rsidRDefault="00020A6E" w:rsidP="009E6ED0">
      <w:pPr>
        <w:jc w:val="both"/>
        <w:rPr>
          <w:rFonts w:ascii="Arial" w:hAnsi="Arial" w:cs="Arial"/>
          <w:sz w:val="20"/>
          <w:szCs w:val="20"/>
        </w:rPr>
      </w:pPr>
    </w:p>
    <w:sectPr w:rsidR="00020A6E" w:rsidRPr="00020A6E" w:rsidSect="0002111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CE4B" w14:textId="77777777" w:rsidR="004D721B" w:rsidRDefault="004D721B" w:rsidP="00A65C6A">
      <w:pPr>
        <w:spacing w:after="0" w:line="240" w:lineRule="auto"/>
      </w:pPr>
      <w:r>
        <w:separator/>
      </w:r>
    </w:p>
  </w:endnote>
  <w:endnote w:type="continuationSeparator" w:id="0">
    <w:p w14:paraId="0378080E" w14:textId="77777777" w:rsidR="004D721B" w:rsidRDefault="004D721B" w:rsidP="00A6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D5177" w14:textId="77777777" w:rsidR="004D721B" w:rsidRDefault="004D721B" w:rsidP="00A65C6A">
      <w:pPr>
        <w:spacing w:after="0" w:line="240" w:lineRule="auto"/>
      </w:pPr>
      <w:r>
        <w:separator/>
      </w:r>
    </w:p>
  </w:footnote>
  <w:footnote w:type="continuationSeparator" w:id="0">
    <w:p w14:paraId="7096B66A" w14:textId="77777777" w:rsidR="004D721B" w:rsidRDefault="004D721B" w:rsidP="00A65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04"/>
    <w:rsid w:val="0000692D"/>
    <w:rsid w:val="00020A6E"/>
    <w:rsid w:val="00021115"/>
    <w:rsid w:val="00047B25"/>
    <w:rsid w:val="00052885"/>
    <w:rsid w:val="00073CCA"/>
    <w:rsid w:val="00082D8B"/>
    <w:rsid w:val="00084987"/>
    <w:rsid w:val="0009514E"/>
    <w:rsid w:val="000C2BE9"/>
    <w:rsid w:val="000C7050"/>
    <w:rsid w:val="000D28C5"/>
    <w:rsid w:val="000D4F04"/>
    <w:rsid w:val="000E3ECD"/>
    <w:rsid w:val="00103B08"/>
    <w:rsid w:val="0013642F"/>
    <w:rsid w:val="0014123B"/>
    <w:rsid w:val="00157EF0"/>
    <w:rsid w:val="00167A03"/>
    <w:rsid w:val="001D2C10"/>
    <w:rsid w:val="001E354C"/>
    <w:rsid w:val="001E38D4"/>
    <w:rsid w:val="001F0BAB"/>
    <w:rsid w:val="00215EFD"/>
    <w:rsid w:val="00232212"/>
    <w:rsid w:val="0024686A"/>
    <w:rsid w:val="0025269F"/>
    <w:rsid w:val="002839F2"/>
    <w:rsid w:val="00286ADA"/>
    <w:rsid w:val="002B2F26"/>
    <w:rsid w:val="002C1772"/>
    <w:rsid w:val="00310A26"/>
    <w:rsid w:val="00324D95"/>
    <w:rsid w:val="00340A79"/>
    <w:rsid w:val="00351024"/>
    <w:rsid w:val="00387661"/>
    <w:rsid w:val="003A129A"/>
    <w:rsid w:val="003B6367"/>
    <w:rsid w:val="003C4035"/>
    <w:rsid w:val="003C79C7"/>
    <w:rsid w:val="00425162"/>
    <w:rsid w:val="004264B1"/>
    <w:rsid w:val="004A0BB0"/>
    <w:rsid w:val="004D721B"/>
    <w:rsid w:val="0050461A"/>
    <w:rsid w:val="00523F92"/>
    <w:rsid w:val="005A070D"/>
    <w:rsid w:val="005A6376"/>
    <w:rsid w:val="005A6715"/>
    <w:rsid w:val="006007D5"/>
    <w:rsid w:val="006028C1"/>
    <w:rsid w:val="00624A47"/>
    <w:rsid w:val="006251EA"/>
    <w:rsid w:val="00637A43"/>
    <w:rsid w:val="00650683"/>
    <w:rsid w:val="00676D5E"/>
    <w:rsid w:val="006835D3"/>
    <w:rsid w:val="00685111"/>
    <w:rsid w:val="00686C04"/>
    <w:rsid w:val="006A121F"/>
    <w:rsid w:val="006A626F"/>
    <w:rsid w:val="006D211D"/>
    <w:rsid w:val="00707A40"/>
    <w:rsid w:val="0079510D"/>
    <w:rsid w:val="007F60DF"/>
    <w:rsid w:val="00886D60"/>
    <w:rsid w:val="008B455A"/>
    <w:rsid w:val="008D64CA"/>
    <w:rsid w:val="008E3719"/>
    <w:rsid w:val="009017E2"/>
    <w:rsid w:val="009968B3"/>
    <w:rsid w:val="00996C13"/>
    <w:rsid w:val="009C10C5"/>
    <w:rsid w:val="009D63CA"/>
    <w:rsid w:val="009E504C"/>
    <w:rsid w:val="009E6ED0"/>
    <w:rsid w:val="00A01489"/>
    <w:rsid w:val="00A10EE7"/>
    <w:rsid w:val="00A42883"/>
    <w:rsid w:val="00A65C6A"/>
    <w:rsid w:val="00A82069"/>
    <w:rsid w:val="00AA3EB6"/>
    <w:rsid w:val="00AB16C7"/>
    <w:rsid w:val="00AB2FE4"/>
    <w:rsid w:val="00AB57DC"/>
    <w:rsid w:val="00AC55B8"/>
    <w:rsid w:val="00AE4EB6"/>
    <w:rsid w:val="00AE548A"/>
    <w:rsid w:val="00B167EB"/>
    <w:rsid w:val="00B9647E"/>
    <w:rsid w:val="00BB5852"/>
    <w:rsid w:val="00BB7527"/>
    <w:rsid w:val="00BE31D2"/>
    <w:rsid w:val="00C26F74"/>
    <w:rsid w:val="00D058A5"/>
    <w:rsid w:val="00D36858"/>
    <w:rsid w:val="00D44CB7"/>
    <w:rsid w:val="00D771A2"/>
    <w:rsid w:val="00D779F0"/>
    <w:rsid w:val="00D83A5E"/>
    <w:rsid w:val="00D93669"/>
    <w:rsid w:val="00D967C9"/>
    <w:rsid w:val="00DB1C12"/>
    <w:rsid w:val="00DB27EA"/>
    <w:rsid w:val="00DC2E12"/>
    <w:rsid w:val="00DF0EB9"/>
    <w:rsid w:val="00DF221B"/>
    <w:rsid w:val="00E117A0"/>
    <w:rsid w:val="00E461E0"/>
    <w:rsid w:val="00E75752"/>
    <w:rsid w:val="00E93AEE"/>
    <w:rsid w:val="00E97EC1"/>
    <w:rsid w:val="00EE2A11"/>
    <w:rsid w:val="00F426DD"/>
    <w:rsid w:val="00F72E00"/>
    <w:rsid w:val="00FB075F"/>
    <w:rsid w:val="00FB10A0"/>
    <w:rsid w:val="00FC6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1A0E"/>
  <w15:docId w15:val="{5EBE64D9-4F8B-4F66-98A1-D5861A9C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97E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rzxr">
    <w:name w:val="lrzxr"/>
    <w:basedOn w:val="Fontepargpadro"/>
    <w:rsid w:val="00E117A0"/>
  </w:style>
  <w:style w:type="paragraph" w:styleId="Cabealho">
    <w:name w:val="header"/>
    <w:basedOn w:val="Normal"/>
    <w:link w:val="CabealhoChar"/>
    <w:uiPriority w:val="99"/>
    <w:unhideWhenUsed/>
    <w:rsid w:val="00A65C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5C6A"/>
  </w:style>
  <w:style w:type="paragraph" w:styleId="Rodap">
    <w:name w:val="footer"/>
    <w:basedOn w:val="Normal"/>
    <w:link w:val="RodapChar"/>
    <w:uiPriority w:val="99"/>
    <w:unhideWhenUsed/>
    <w:rsid w:val="00A65C6A"/>
    <w:pPr>
      <w:tabs>
        <w:tab w:val="center" w:pos="4252"/>
        <w:tab w:val="right" w:pos="8504"/>
      </w:tabs>
      <w:spacing w:after="0" w:line="240" w:lineRule="auto"/>
    </w:pPr>
  </w:style>
  <w:style w:type="character" w:customStyle="1" w:styleId="RodapChar">
    <w:name w:val="Rodapé Char"/>
    <w:basedOn w:val="Fontepargpadro"/>
    <w:link w:val="Rodap"/>
    <w:uiPriority w:val="99"/>
    <w:rsid w:val="00A65C6A"/>
  </w:style>
  <w:style w:type="character" w:styleId="Hyperlink">
    <w:name w:val="Hyperlink"/>
    <w:basedOn w:val="Fontepargpadro"/>
    <w:uiPriority w:val="99"/>
    <w:unhideWhenUsed/>
    <w:rsid w:val="00D44CB7"/>
    <w:rPr>
      <w:color w:val="0563C1" w:themeColor="hyperlink"/>
      <w:u w:val="single"/>
    </w:rPr>
  </w:style>
  <w:style w:type="table" w:styleId="Tabelacomgrade">
    <w:name w:val="Table Grid"/>
    <w:basedOn w:val="Tabelanormal"/>
    <w:uiPriority w:val="39"/>
    <w:rsid w:val="00D77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E97EC1"/>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E97EC1"/>
    <w:pPr>
      <w:outlineLvl w:val="9"/>
    </w:pPr>
    <w:rPr>
      <w:lang w:eastAsia="pt-BR"/>
    </w:rPr>
  </w:style>
  <w:style w:type="paragraph" w:styleId="Sumrio2">
    <w:name w:val="toc 2"/>
    <w:basedOn w:val="Normal"/>
    <w:next w:val="Normal"/>
    <w:autoRedefine/>
    <w:uiPriority w:val="39"/>
    <w:unhideWhenUsed/>
    <w:rsid w:val="00E97EC1"/>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0E3ECD"/>
    <w:pPr>
      <w:spacing w:after="0"/>
    </w:pPr>
    <w:rPr>
      <w:rFonts w:eastAsiaTheme="minorEastAsia" w:cs="Times New Roman"/>
      <w:lang w:eastAsia="pt-BR"/>
    </w:rPr>
  </w:style>
  <w:style w:type="paragraph" w:styleId="Sumrio3">
    <w:name w:val="toc 3"/>
    <w:basedOn w:val="Normal"/>
    <w:next w:val="Normal"/>
    <w:autoRedefine/>
    <w:uiPriority w:val="39"/>
    <w:unhideWhenUsed/>
    <w:rsid w:val="00E97EC1"/>
    <w:pPr>
      <w:spacing w:after="100"/>
      <w:ind w:left="440"/>
    </w:pPr>
    <w:rPr>
      <w:rFonts w:eastAsiaTheme="minorEastAsia" w:cs="Times New Roman"/>
      <w:lang w:eastAsia="pt-BR"/>
    </w:rPr>
  </w:style>
  <w:style w:type="paragraph" w:styleId="Textodebalo">
    <w:name w:val="Balloon Text"/>
    <w:basedOn w:val="Normal"/>
    <w:link w:val="TextodebaloChar"/>
    <w:uiPriority w:val="99"/>
    <w:semiHidden/>
    <w:unhideWhenUsed/>
    <w:rsid w:val="00DB27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27EA"/>
    <w:rPr>
      <w:rFonts w:ascii="Tahoma" w:hAnsi="Tahoma" w:cs="Tahoma"/>
      <w:sz w:val="16"/>
      <w:szCs w:val="16"/>
    </w:rPr>
  </w:style>
  <w:style w:type="paragraph" w:customStyle="1" w:styleId="font8">
    <w:name w:val="font_8"/>
    <w:basedOn w:val="Normal"/>
    <w:rsid w:val="000211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ixui-rich-texttext">
    <w:name w:val="wixui-rich-text__text"/>
    <w:basedOn w:val="Fontepargpadro"/>
    <w:rsid w:val="00021115"/>
  </w:style>
  <w:style w:type="paragraph" w:customStyle="1" w:styleId="p1">
    <w:name w:val="p1"/>
    <w:basedOn w:val="Normal"/>
    <w:rsid w:val="009C10C5"/>
    <w:pPr>
      <w:spacing w:after="0" w:line="240" w:lineRule="auto"/>
    </w:pPr>
    <w:rPr>
      <w:rFonts w:ascii="Arial" w:eastAsia="Times New Roman" w:hAnsi="Arial" w:cs="Arial"/>
      <w:color w:val="000000"/>
      <w:sz w:val="21"/>
      <w:szCs w:val="21"/>
      <w:lang w:eastAsia="pt-BR"/>
    </w:rPr>
  </w:style>
  <w:style w:type="paragraph" w:customStyle="1" w:styleId="p2">
    <w:name w:val="p2"/>
    <w:basedOn w:val="Normal"/>
    <w:rsid w:val="009C10C5"/>
    <w:pPr>
      <w:spacing w:after="0" w:line="240" w:lineRule="auto"/>
    </w:pPr>
    <w:rPr>
      <w:rFonts w:ascii="Arial" w:eastAsia="Times New Roman" w:hAnsi="Arial" w:cs="Arial"/>
      <w:color w:val="000000"/>
      <w:sz w:val="15"/>
      <w:szCs w:val="15"/>
      <w:lang w:eastAsia="pt-BR"/>
    </w:rPr>
  </w:style>
  <w:style w:type="paragraph" w:customStyle="1" w:styleId="p3">
    <w:name w:val="p3"/>
    <w:basedOn w:val="Normal"/>
    <w:rsid w:val="009C10C5"/>
    <w:pPr>
      <w:spacing w:after="0" w:line="240" w:lineRule="auto"/>
    </w:pPr>
    <w:rPr>
      <w:rFonts w:ascii="Arial" w:eastAsia="Times New Roman" w:hAnsi="Arial" w:cs="Arial"/>
      <w:color w:val="0000FF"/>
      <w:sz w:val="15"/>
      <w:szCs w:val="15"/>
      <w:lang w:eastAsia="pt-BR"/>
    </w:rPr>
  </w:style>
  <w:style w:type="paragraph" w:customStyle="1" w:styleId="p4">
    <w:name w:val="p4"/>
    <w:basedOn w:val="Normal"/>
    <w:rsid w:val="009C10C5"/>
    <w:pPr>
      <w:spacing w:after="0" w:line="240" w:lineRule="auto"/>
    </w:pPr>
    <w:rPr>
      <w:rFonts w:ascii="Arial" w:eastAsia="Times New Roman" w:hAnsi="Arial" w:cs="Arial"/>
      <w:color w:val="000000"/>
      <w:sz w:val="14"/>
      <w:szCs w:val="14"/>
      <w:lang w:eastAsia="pt-BR"/>
    </w:rPr>
  </w:style>
  <w:style w:type="character" w:customStyle="1" w:styleId="s1">
    <w:name w:val="s1"/>
    <w:basedOn w:val="Fontepargpadro"/>
    <w:rsid w:val="009C10C5"/>
    <w:rPr>
      <w:rFonts w:ascii="Arial" w:hAnsi="Arial" w:cs="Arial" w:hint="default"/>
      <w:sz w:val="10"/>
      <w:szCs w:val="10"/>
    </w:rPr>
  </w:style>
  <w:style w:type="character" w:customStyle="1" w:styleId="s2">
    <w:name w:val="s2"/>
    <w:basedOn w:val="Fontepargpadro"/>
    <w:rsid w:val="009C10C5"/>
    <w:rPr>
      <w:rFonts w:ascii="Arial" w:hAnsi="Arial" w:cs="Arial" w:hint="default"/>
      <w:sz w:val="9"/>
      <w:szCs w:val="9"/>
    </w:rPr>
  </w:style>
  <w:style w:type="character" w:styleId="MenoPendente">
    <w:name w:val="Unresolved Mention"/>
    <w:basedOn w:val="Fontepargpadro"/>
    <w:uiPriority w:val="99"/>
    <w:semiHidden/>
    <w:unhideWhenUsed/>
    <w:rsid w:val="00C26F74"/>
    <w:rPr>
      <w:color w:val="605E5C"/>
      <w:shd w:val="clear" w:color="auto" w:fill="E1DFDD"/>
    </w:rPr>
  </w:style>
  <w:style w:type="character" w:styleId="HiperlinkVisitado">
    <w:name w:val="FollowedHyperlink"/>
    <w:basedOn w:val="Fontepargpadro"/>
    <w:uiPriority w:val="99"/>
    <w:semiHidden/>
    <w:unhideWhenUsed/>
    <w:rsid w:val="00C26F74"/>
    <w:rPr>
      <w:color w:val="954F72" w:themeColor="followedHyperlink"/>
      <w:u w:val="single"/>
    </w:rPr>
  </w:style>
  <w:style w:type="character" w:customStyle="1" w:styleId="agcmg">
    <w:name w:val="a_gcmg"/>
    <w:basedOn w:val="Fontepargpadro"/>
    <w:rsid w:val="001F0BAB"/>
  </w:style>
  <w:style w:type="paragraph" w:styleId="Ttulo">
    <w:name w:val="Title"/>
    <w:basedOn w:val="Normal"/>
    <w:next w:val="Normal"/>
    <w:link w:val="TtuloChar"/>
    <w:uiPriority w:val="10"/>
    <w:qFormat/>
    <w:rsid w:val="00020A6E"/>
    <w:pPr>
      <w:widowControl w:val="0"/>
      <w:spacing w:before="81" w:after="0" w:line="240" w:lineRule="auto"/>
      <w:ind w:left="2" w:right="139"/>
    </w:pPr>
    <w:rPr>
      <w:rFonts w:ascii="Arial" w:eastAsia="Arial" w:hAnsi="Arial" w:cs="Arial"/>
      <w:b/>
      <w:sz w:val="28"/>
      <w:szCs w:val="28"/>
      <w:lang w:val="pt-PT" w:eastAsia="pt-BR"/>
    </w:rPr>
  </w:style>
  <w:style w:type="character" w:customStyle="1" w:styleId="TtuloChar">
    <w:name w:val="Título Char"/>
    <w:basedOn w:val="Fontepargpadro"/>
    <w:link w:val="Ttulo"/>
    <w:uiPriority w:val="10"/>
    <w:rsid w:val="00020A6E"/>
    <w:rPr>
      <w:rFonts w:ascii="Arial" w:eastAsia="Arial" w:hAnsi="Arial" w:cs="Arial"/>
      <w:b/>
      <w:sz w:val="28"/>
      <w:szCs w:val="2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daniellebragaportes@gmail.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licia.csl@gmail.co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emf"/><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CA41-EF8E-42E1-AB4C-ABFDE9DE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9349</Words>
  <Characters>50488</Characters>
  <Application>Microsoft Office Word</Application>
  <DocSecurity>4</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UFSC370856</dc:creator>
  <cp:lastModifiedBy>ELAINE Cruz de jesus</cp:lastModifiedBy>
  <cp:revision>2</cp:revision>
  <dcterms:created xsi:type="dcterms:W3CDTF">2025-10-21T19:03:00Z</dcterms:created>
  <dcterms:modified xsi:type="dcterms:W3CDTF">2025-10-21T19:03:00Z</dcterms:modified>
</cp:coreProperties>
</file>